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ind w:left="-142" w:leftChars="0"/>
        <w:jc w:val="center"/>
        <w:rPr>
          <w:rFonts w:hint="eastAsia" w:asciiTheme="minorEastAsia" w:hAnsiTheme="minorEastAsia" w:eastAsiaTheme="minorEastAsia" w:cstheme="minorEastAsia"/>
          <w:color w:val="auto"/>
          <w:sz w:val="44"/>
          <w:szCs w:val="44"/>
          <w:highlight w:val="none"/>
          <w:lang w:val="en-US" w:eastAsia="zh-CN"/>
        </w:rPr>
      </w:pPr>
      <w:bookmarkStart w:id="0" w:name="_Toc15675"/>
      <w:bookmarkStart w:id="1" w:name="_Toc13652508"/>
      <w:r>
        <w:rPr>
          <w:rFonts w:hint="eastAsia" w:asciiTheme="minorEastAsia" w:hAnsiTheme="minorEastAsia" w:eastAsiaTheme="minorEastAsia" w:cstheme="minorEastAsia"/>
          <w:color w:val="auto"/>
          <w:sz w:val="44"/>
          <w:szCs w:val="44"/>
          <w:highlight w:val="none"/>
          <w:lang w:val="en-US" w:eastAsia="zh-CN"/>
        </w:rPr>
        <w:t>2025年西华大学箱式变电站采购项目</w:t>
      </w:r>
      <w:r>
        <w:rPr>
          <w:rFonts w:hint="eastAsia" w:asciiTheme="minorEastAsia" w:hAnsiTheme="minorEastAsia" w:eastAsiaTheme="minorEastAsia" w:cstheme="minorEastAsia"/>
          <w:color w:val="auto"/>
          <w:sz w:val="44"/>
          <w:szCs w:val="44"/>
          <w:highlight w:val="none"/>
          <w:lang w:val="en-US" w:eastAsia="zh-CN"/>
        </w:rPr>
        <w:t>需求文件</w:t>
      </w:r>
    </w:p>
    <w:bookmarkEnd w:id="0"/>
    <w:bookmarkEnd w:id="1"/>
    <w:p>
      <w:pPr>
        <w:pStyle w:val="5"/>
        <w:numPr>
          <w:ilvl w:val="0"/>
          <w:numId w:val="0"/>
        </w:numPr>
        <w:tabs>
          <w:tab w:val="left" w:pos="0"/>
          <w:tab w:val="left" w:pos="426"/>
          <w:tab w:val="left" w:pos="576"/>
          <w:tab w:val="left" w:pos="786"/>
        </w:tabs>
        <w:spacing w:line="360" w:lineRule="auto"/>
        <w:ind w:firstLine="562" w:firstLineChars="200"/>
        <w:jc w:val="both"/>
        <w:rPr>
          <w:rFonts w:hint="eastAsia" w:asciiTheme="minorEastAsia" w:hAnsiTheme="minorEastAsia" w:eastAsiaTheme="minorEastAsia" w:cstheme="minorEastAsia"/>
          <w:color w:val="auto"/>
          <w:sz w:val="28"/>
          <w:szCs w:val="28"/>
          <w:highlight w:val="none"/>
        </w:rPr>
      </w:pPr>
      <w:bookmarkStart w:id="2" w:name="_Toc5188"/>
      <w:bookmarkStart w:id="3" w:name="_Toc9639"/>
      <w:r>
        <w:rPr>
          <w:rFonts w:hint="eastAsia" w:asciiTheme="minorEastAsia" w:hAnsiTheme="minorEastAsia" w:eastAsiaTheme="minorEastAsia" w:cstheme="minorEastAsia"/>
          <w:color w:val="auto"/>
          <w:sz w:val="28"/>
          <w:szCs w:val="28"/>
          <w:highlight w:val="none"/>
          <w:lang w:eastAsia="zh-CN"/>
        </w:rPr>
        <w:t>一、</w:t>
      </w:r>
      <w:r>
        <w:rPr>
          <w:rFonts w:hint="eastAsia" w:asciiTheme="minorEastAsia" w:hAnsiTheme="minorEastAsia" w:eastAsiaTheme="minorEastAsia" w:cstheme="minorEastAsia"/>
          <w:color w:val="auto"/>
          <w:sz w:val="28"/>
          <w:szCs w:val="28"/>
          <w:highlight w:val="none"/>
        </w:rPr>
        <w:t>项目概况</w:t>
      </w:r>
      <w:bookmarkEnd w:id="2"/>
      <w:bookmarkEnd w:id="3"/>
      <w:bookmarkStart w:id="25" w:name="_GoBack"/>
      <w:bookmarkEnd w:id="25"/>
    </w:p>
    <w:p>
      <w:pPr>
        <w:pStyle w:val="2"/>
        <w:spacing w:line="360" w:lineRule="auto"/>
        <w:ind w:firstLine="560" w:firstLineChars="200"/>
        <w:rPr>
          <w:rFonts w:hint="default"/>
          <w:lang w:val="en-US" w:eastAsia="zh-CN"/>
        </w:rPr>
      </w:pPr>
      <w:r>
        <w:rPr>
          <w:rFonts w:hint="eastAsia" w:asciiTheme="minorEastAsia" w:hAnsiTheme="minorEastAsia" w:eastAsiaTheme="minorEastAsia" w:cstheme="minorEastAsia"/>
          <w:color w:val="auto"/>
          <w:sz w:val="28"/>
          <w:szCs w:val="28"/>
          <w:highlight w:val="none"/>
          <w:lang w:eastAsia="zh-CN"/>
        </w:rPr>
        <w:t>为提高学校供电设备安全可靠性，能源管理中心特申请实施西华大学202</w:t>
      </w:r>
      <w:r>
        <w:rPr>
          <w:rFonts w:hint="eastAsia" w:asciiTheme="minorEastAsia" w:hAnsiTheme="minorEastAsia" w:eastAsia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lang w:eastAsia="zh-CN"/>
        </w:rPr>
        <w:t>年箱式变电站采购项目，具体为采购三座630KVA箱式变电站，三座箱式变电站预算金额为</w:t>
      </w:r>
      <w:r>
        <w:rPr>
          <w:rFonts w:hint="eastAsia" w:asciiTheme="minorEastAsia" w:hAnsiTheme="minorEastAsia" w:eastAsiaTheme="minorEastAsia" w:cstheme="minorEastAsia"/>
          <w:color w:val="auto"/>
          <w:sz w:val="28"/>
          <w:szCs w:val="28"/>
          <w:highlight w:val="none"/>
          <w:lang w:val="en-US" w:eastAsia="zh-CN"/>
        </w:rPr>
        <w:t>105万。</w:t>
      </w:r>
    </w:p>
    <w:p>
      <w:pPr>
        <w:numPr>
          <w:ilvl w:val="0"/>
          <w:numId w:val="0"/>
        </w:numPr>
        <w:spacing w:line="360" w:lineRule="auto"/>
        <w:ind w:firstLine="562" w:firstLineChars="200"/>
        <w:rPr>
          <w:rFonts w:hint="eastAsia" w:ascii="宋体" w:hAnsi="宋体" w:eastAsia="宋体" w:cs="宋体"/>
          <w:b/>
          <w:color w:val="auto"/>
          <w:sz w:val="28"/>
          <w:szCs w:val="28"/>
          <w:highlight w:val="none"/>
        </w:rPr>
      </w:pPr>
      <w:bookmarkStart w:id="4" w:name="_Toc8877"/>
      <w:bookmarkStart w:id="5" w:name="_Toc27997"/>
      <w:r>
        <w:rPr>
          <w:rFonts w:hint="eastAsia" w:ascii="宋体" w:hAnsi="宋体" w:cs="宋体"/>
          <w:b/>
          <w:color w:val="auto"/>
          <w:kern w:val="2"/>
          <w:sz w:val="28"/>
          <w:szCs w:val="28"/>
          <w:lang w:val="en-US" w:eastAsia="zh-CN" w:bidi="ar-SA"/>
        </w:rPr>
        <w:t>二</w:t>
      </w:r>
      <w:r>
        <w:rPr>
          <w:rFonts w:hint="eastAsia" w:ascii="宋体" w:hAnsi="宋体" w:eastAsia="宋体" w:cs="宋体"/>
          <w:b/>
          <w:color w:val="auto"/>
          <w:kern w:val="2"/>
          <w:sz w:val="28"/>
          <w:szCs w:val="28"/>
          <w:lang w:val="en-US" w:eastAsia="zh-CN" w:bidi="ar-SA"/>
        </w:rPr>
        <w:t>、</w:t>
      </w:r>
      <w:r>
        <w:rPr>
          <w:rFonts w:hint="eastAsia" w:ascii="宋体" w:hAnsi="宋体" w:eastAsia="宋体" w:cs="宋体"/>
          <w:b/>
          <w:color w:val="auto"/>
          <w:sz w:val="28"/>
          <w:szCs w:val="28"/>
          <w:highlight w:val="none"/>
        </w:rPr>
        <w:t>投标人应具备的资格条件</w:t>
      </w:r>
    </w:p>
    <w:p>
      <w:pPr>
        <w:tabs>
          <w:tab w:val="left" w:pos="1080"/>
        </w:tabs>
        <w:spacing w:line="560" w:lineRule="exact"/>
        <w:ind w:left="0" w:leftChars="0" w:firstLine="490" w:firstLineChars="175"/>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（一）具备《中华人民共和国政府采购法》第二十二条规定的条件：</w:t>
      </w:r>
    </w:p>
    <w:p>
      <w:pPr>
        <w:tabs>
          <w:tab w:val="left" w:pos="1080"/>
        </w:tabs>
        <w:spacing w:line="560" w:lineRule="exact"/>
        <w:ind w:left="0" w:leftChars="0" w:firstLine="490" w:firstLineChars="175"/>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1.具有独立承担民事责任的能力；</w:t>
      </w:r>
    </w:p>
    <w:p>
      <w:pPr>
        <w:tabs>
          <w:tab w:val="left" w:pos="1080"/>
        </w:tabs>
        <w:spacing w:line="560" w:lineRule="exact"/>
        <w:ind w:left="0" w:leftChars="0" w:firstLine="490" w:firstLineChars="175"/>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2.具有良好的商业信誉和健全的财务会计制度；</w:t>
      </w:r>
    </w:p>
    <w:p>
      <w:pPr>
        <w:tabs>
          <w:tab w:val="left" w:pos="1080"/>
        </w:tabs>
        <w:spacing w:line="560" w:lineRule="exact"/>
        <w:ind w:left="0" w:leftChars="0" w:firstLine="490" w:firstLineChars="175"/>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3.具有履行合同所必需的设备和专业技术能力；</w:t>
      </w:r>
    </w:p>
    <w:p>
      <w:pPr>
        <w:tabs>
          <w:tab w:val="left" w:pos="1080"/>
        </w:tabs>
        <w:spacing w:line="560" w:lineRule="exact"/>
        <w:ind w:left="0" w:leftChars="0" w:firstLine="490" w:firstLineChars="175"/>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4.具有依法缴纳税收和社会保障资金的良好记录；</w:t>
      </w:r>
    </w:p>
    <w:p>
      <w:pPr>
        <w:tabs>
          <w:tab w:val="left" w:pos="1080"/>
        </w:tabs>
        <w:spacing w:line="560" w:lineRule="exact"/>
        <w:ind w:left="0" w:leftChars="0" w:firstLine="490" w:firstLineChars="175"/>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5.参加本次政府采购活动前三年内，在经营活动中没有重大违法记录；</w:t>
      </w:r>
    </w:p>
    <w:p>
      <w:pPr>
        <w:tabs>
          <w:tab w:val="left" w:pos="1080"/>
        </w:tabs>
        <w:spacing w:line="560" w:lineRule="exact"/>
        <w:ind w:left="0" w:leftChars="0" w:firstLine="490" w:firstLineChars="175"/>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6.法律、行政法规规定的其他条件。</w:t>
      </w:r>
    </w:p>
    <w:p>
      <w:pPr>
        <w:spacing w:line="460" w:lineRule="exact"/>
        <w:ind w:left="0" w:leftChars="0" w:firstLine="490" w:firstLineChars="175"/>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cs="宋体"/>
          <w:color w:val="auto"/>
          <w:sz w:val="28"/>
          <w:szCs w:val="28"/>
          <w:highlight w:val="none"/>
          <w:lang w:eastAsia="zh-CN"/>
        </w:rPr>
        <w:t>二</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落实政府采购政策需满足的资格要求</w:t>
      </w:r>
      <w:r>
        <w:rPr>
          <w:rFonts w:hint="eastAsia" w:ascii="宋体" w:hAnsi="宋体" w:eastAsia="宋体" w:cs="宋体"/>
          <w:color w:val="auto"/>
          <w:sz w:val="28"/>
          <w:szCs w:val="28"/>
          <w:highlight w:val="none"/>
          <w:lang w:eastAsia="zh-CN"/>
        </w:rPr>
        <w:t>：</w:t>
      </w:r>
    </w:p>
    <w:p>
      <w:pPr>
        <w:numPr>
          <w:ilvl w:val="0"/>
          <w:numId w:val="0"/>
        </w:numPr>
        <w:spacing w:line="360" w:lineRule="auto"/>
        <w:ind w:leftChars="175"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宋体" w:hAnsi="宋体" w:eastAsia="宋体" w:cs="宋体"/>
          <w:color w:val="auto"/>
          <w:sz w:val="28"/>
          <w:szCs w:val="28"/>
          <w:highlight w:val="none"/>
          <w:lang w:val="en-US" w:eastAsia="zh-CN"/>
        </w:rPr>
        <w:t>本项目</w:t>
      </w:r>
      <w:r>
        <w:rPr>
          <w:rFonts w:hint="eastAsia" w:ascii="宋体" w:hAnsi="宋体" w:cs="宋体"/>
          <w:color w:val="auto"/>
          <w:sz w:val="28"/>
          <w:szCs w:val="28"/>
          <w:highlight w:val="none"/>
          <w:lang w:val="en-US" w:eastAsia="zh-CN"/>
        </w:rPr>
        <w:t>不</w:t>
      </w:r>
      <w:r>
        <w:rPr>
          <w:rFonts w:hint="eastAsia" w:ascii="宋体" w:hAnsi="宋体" w:eastAsia="宋体" w:cs="宋体"/>
          <w:color w:val="auto"/>
          <w:sz w:val="28"/>
          <w:szCs w:val="28"/>
          <w:highlight w:val="none"/>
          <w:lang w:val="en-US" w:eastAsia="zh-CN"/>
        </w:rPr>
        <w:t>专门面向中小企业。</w:t>
      </w:r>
    </w:p>
    <w:p>
      <w:pPr>
        <w:pStyle w:val="5"/>
        <w:numPr>
          <w:ilvl w:val="0"/>
          <w:numId w:val="0"/>
        </w:numPr>
        <w:tabs>
          <w:tab w:val="left" w:pos="0"/>
          <w:tab w:val="left" w:pos="426"/>
          <w:tab w:val="left" w:pos="576"/>
          <w:tab w:val="left" w:pos="786"/>
        </w:tabs>
        <w:spacing w:line="360" w:lineRule="auto"/>
        <w:ind w:firstLine="562" w:firstLineChars="200"/>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三、采购清单</w:t>
      </w:r>
      <w:bookmarkEnd w:id="4"/>
      <w:bookmarkEnd w:id="5"/>
    </w:p>
    <w:tbl>
      <w:tblPr>
        <w:tblStyle w:val="10"/>
        <w:tblW w:w="9358" w:type="dxa"/>
        <w:tblInd w:w="-4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2718"/>
        <w:gridCol w:w="1974"/>
        <w:gridCol w:w="1343"/>
        <w:gridCol w:w="1019"/>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878" w:type="dxa"/>
            <w:noWrap w:val="0"/>
            <w:vAlign w:val="center"/>
          </w:tcPr>
          <w:p>
            <w:pPr>
              <w:spacing w:line="360" w:lineRule="auto"/>
              <w:jc w:val="center"/>
              <w:rPr>
                <w:rFonts w:hint="eastAsia" w:asciiTheme="minorEastAsia" w:hAnsiTheme="minorEastAsia" w:eastAsiaTheme="minorEastAsia" w:cstheme="minorEastAsia"/>
                <w:color w:val="auto"/>
                <w:kern w:val="0"/>
                <w:sz w:val="28"/>
                <w:szCs w:val="28"/>
                <w:highlight w:val="none"/>
                <w:lang w:val="en-US" w:eastAsia="zh-CN" w:bidi="ar-SA"/>
              </w:rPr>
            </w:pPr>
            <w:r>
              <w:rPr>
                <w:rFonts w:hint="eastAsia" w:asciiTheme="minorEastAsia" w:hAnsiTheme="minorEastAsia" w:eastAsiaTheme="minorEastAsia" w:cstheme="minorEastAsia"/>
                <w:color w:val="auto"/>
                <w:kern w:val="0"/>
                <w:sz w:val="28"/>
                <w:szCs w:val="28"/>
                <w:highlight w:val="none"/>
                <w:lang w:val="en-US" w:eastAsia="zh-CN" w:bidi="ar-SA"/>
              </w:rPr>
              <w:t>序号</w:t>
            </w:r>
          </w:p>
        </w:tc>
        <w:tc>
          <w:tcPr>
            <w:tcW w:w="2718" w:type="dxa"/>
            <w:noWrap w:val="0"/>
            <w:vAlign w:val="center"/>
          </w:tcPr>
          <w:p>
            <w:pPr>
              <w:spacing w:line="360" w:lineRule="auto"/>
              <w:jc w:val="center"/>
              <w:rPr>
                <w:rFonts w:hint="eastAsia" w:asciiTheme="minorEastAsia" w:hAnsiTheme="minorEastAsia" w:eastAsiaTheme="minorEastAsia" w:cstheme="minorEastAsia"/>
                <w:color w:val="auto"/>
                <w:kern w:val="0"/>
                <w:sz w:val="28"/>
                <w:szCs w:val="28"/>
                <w:highlight w:val="none"/>
                <w:lang w:val="en-US" w:eastAsia="zh-CN" w:bidi="ar-SA"/>
              </w:rPr>
            </w:pPr>
            <w:r>
              <w:rPr>
                <w:rFonts w:hint="eastAsia" w:asciiTheme="minorEastAsia" w:hAnsiTheme="minorEastAsia" w:eastAsiaTheme="minorEastAsia" w:cstheme="minorEastAsia"/>
                <w:color w:val="auto"/>
                <w:kern w:val="0"/>
                <w:sz w:val="28"/>
                <w:szCs w:val="28"/>
                <w:highlight w:val="none"/>
                <w:lang w:val="en-US" w:eastAsia="zh-CN" w:bidi="ar-SA"/>
              </w:rPr>
              <w:t>设备名称（采购标的名称）</w:t>
            </w:r>
          </w:p>
        </w:tc>
        <w:tc>
          <w:tcPr>
            <w:tcW w:w="1974" w:type="dxa"/>
            <w:noWrap w:val="0"/>
            <w:vAlign w:val="center"/>
          </w:tcPr>
          <w:p>
            <w:pPr>
              <w:spacing w:line="360" w:lineRule="auto"/>
              <w:jc w:val="center"/>
              <w:rPr>
                <w:rFonts w:hint="eastAsia" w:asciiTheme="minorEastAsia" w:hAnsiTheme="minorEastAsia" w:eastAsiaTheme="minorEastAsia" w:cstheme="minorEastAsia"/>
                <w:color w:val="auto"/>
                <w:kern w:val="0"/>
                <w:sz w:val="28"/>
                <w:szCs w:val="28"/>
                <w:highlight w:val="none"/>
                <w:lang w:val="en-US" w:eastAsia="zh-CN" w:bidi="ar-SA"/>
              </w:rPr>
            </w:pPr>
            <w:r>
              <w:rPr>
                <w:rFonts w:hint="eastAsia" w:asciiTheme="minorEastAsia" w:hAnsiTheme="minorEastAsia" w:eastAsiaTheme="minorEastAsia" w:cstheme="minorEastAsia"/>
                <w:color w:val="auto"/>
                <w:kern w:val="0"/>
                <w:sz w:val="28"/>
                <w:szCs w:val="28"/>
                <w:highlight w:val="none"/>
                <w:lang w:val="en-US" w:eastAsia="zh-CN" w:bidi="ar-SA"/>
              </w:rPr>
              <w:t>采购标的所属行业</w:t>
            </w:r>
          </w:p>
        </w:tc>
        <w:tc>
          <w:tcPr>
            <w:tcW w:w="1343" w:type="dxa"/>
            <w:noWrap w:val="0"/>
            <w:vAlign w:val="center"/>
          </w:tcPr>
          <w:p>
            <w:pPr>
              <w:spacing w:line="360" w:lineRule="auto"/>
              <w:jc w:val="center"/>
              <w:rPr>
                <w:rFonts w:hint="eastAsia" w:asciiTheme="minorEastAsia" w:hAnsiTheme="minorEastAsia" w:eastAsiaTheme="minorEastAsia" w:cstheme="minorEastAsia"/>
                <w:color w:val="auto"/>
                <w:kern w:val="0"/>
                <w:sz w:val="28"/>
                <w:szCs w:val="28"/>
                <w:highlight w:val="none"/>
                <w:lang w:val="en-US" w:eastAsia="zh-CN" w:bidi="ar-SA"/>
              </w:rPr>
            </w:pPr>
            <w:r>
              <w:rPr>
                <w:rFonts w:hint="eastAsia" w:asciiTheme="minorEastAsia" w:hAnsiTheme="minorEastAsia" w:eastAsiaTheme="minorEastAsia" w:cstheme="minorEastAsia"/>
                <w:color w:val="auto"/>
                <w:kern w:val="0"/>
                <w:sz w:val="28"/>
                <w:szCs w:val="28"/>
                <w:highlight w:val="none"/>
                <w:lang w:val="en-US" w:eastAsia="zh-CN" w:bidi="ar-SA"/>
              </w:rPr>
              <w:t>单位</w:t>
            </w:r>
          </w:p>
        </w:tc>
        <w:tc>
          <w:tcPr>
            <w:tcW w:w="1019" w:type="dxa"/>
            <w:noWrap w:val="0"/>
            <w:vAlign w:val="center"/>
          </w:tcPr>
          <w:p>
            <w:pPr>
              <w:spacing w:line="360" w:lineRule="auto"/>
              <w:jc w:val="center"/>
              <w:rPr>
                <w:rFonts w:hint="eastAsia" w:asciiTheme="minorEastAsia" w:hAnsiTheme="minorEastAsia" w:eastAsiaTheme="minorEastAsia" w:cstheme="minorEastAsia"/>
                <w:color w:val="auto"/>
                <w:kern w:val="0"/>
                <w:sz w:val="28"/>
                <w:szCs w:val="28"/>
                <w:highlight w:val="none"/>
                <w:lang w:val="en-US" w:eastAsia="zh-CN" w:bidi="ar-SA"/>
              </w:rPr>
            </w:pPr>
            <w:r>
              <w:rPr>
                <w:rFonts w:hint="eastAsia" w:asciiTheme="minorEastAsia" w:hAnsiTheme="minorEastAsia" w:eastAsiaTheme="minorEastAsia" w:cstheme="minorEastAsia"/>
                <w:color w:val="auto"/>
                <w:kern w:val="0"/>
                <w:sz w:val="28"/>
                <w:szCs w:val="28"/>
                <w:highlight w:val="none"/>
                <w:lang w:val="en-US" w:eastAsia="zh-CN" w:bidi="ar-SA"/>
              </w:rPr>
              <w:t>数量</w:t>
            </w:r>
          </w:p>
        </w:tc>
        <w:tc>
          <w:tcPr>
            <w:tcW w:w="1426" w:type="dxa"/>
            <w:noWrap w:val="0"/>
            <w:vAlign w:val="center"/>
          </w:tcPr>
          <w:p>
            <w:pPr>
              <w:spacing w:line="360" w:lineRule="auto"/>
              <w:jc w:val="center"/>
              <w:rPr>
                <w:rFonts w:hint="eastAsia" w:asciiTheme="minorEastAsia" w:hAnsiTheme="minorEastAsia" w:eastAsiaTheme="minorEastAsia" w:cstheme="minorEastAsia"/>
                <w:color w:val="auto"/>
                <w:kern w:val="0"/>
                <w:sz w:val="28"/>
                <w:szCs w:val="28"/>
                <w:highlight w:val="none"/>
                <w:lang w:val="en-US" w:eastAsia="zh-CN" w:bidi="ar-SA"/>
              </w:rPr>
            </w:pPr>
            <w:r>
              <w:rPr>
                <w:rFonts w:hint="eastAsia" w:asciiTheme="minorEastAsia" w:hAnsiTheme="minorEastAsia" w:eastAsiaTheme="minorEastAsia" w:cstheme="minorEastAsia"/>
                <w:color w:val="auto"/>
                <w:kern w:val="0"/>
                <w:sz w:val="28"/>
                <w:szCs w:val="28"/>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78" w:type="dxa"/>
            <w:noWrap w:val="0"/>
            <w:vAlign w:val="center"/>
          </w:tcPr>
          <w:p>
            <w:pPr>
              <w:spacing w:line="360" w:lineRule="auto"/>
              <w:jc w:val="center"/>
              <w:rPr>
                <w:rFonts w:hint="eastAsia" w:asciiTheme="minorEastAsia" w:hAnsiTheme="minorEastAsia" w:eastAsiaTheme="minorEastAsia" w:cstheme="minorEastAsia"/>
                <w:color w:val="auto"/>
                <w:kern w:val="0"/>
                <w:sz w:val="28"/>
                <w:szCs w:val="28"/>
                <w:highlight w:val="none"/>
                <w:lang w:val="en-US" w:eastAsia="zh-CN" w:bidi="ar-SA"/>
              </w:rPr>
            </w:pPr>
            <w:r>
              <w:rPr>
                <w:rFonts w:hint="eastAsia" w:asciiTheme="minorEastAsia" w:hAnsiTheme="minorEastAsia" w:eastAsiaTheme="minorEastAsia" w:cstheme="minorEastAsia"/>
                <w:color w:val="auto"/>
                <w:kern w:val="0"/>
                <w:sz w:val="28"/>
                <w:szCs w:val="28"/>
                <w:highlight w:val="none"/>
                <w:lang w:val="en-US" w:eastAsia="zh-CN" w:bidi="ar-SA"/>
              </w:rPr>
              <w:t>1</w:t>
            </w:r>
          </w:p>
        </w:tc>
        <w:tc>
          <w:tcPr>
            <w:tcW w:w="2718" w:type="dxa"/>
            <w:noWrap w:val="0"/>
            <w:vAlign w:val="center"/>
          </w:tcPr>
          <w:p>
            <w:pPr>
              <w:spacing w:line="360" w:lineRule="auto"/>
              <w:jc w:val="center"/>
              <w:rPr>
                <w:rFonts w:hint="eastAsia" w:asciiTheme="minorEastAsia" w:hAnsiTheme="minorEastAsia" w:eastAsiaTheme="minorEastAsia" w:cstheme="minorEastAsia"/>
                <w:color w:val="auto"/>
                <w:kern w:val="0"/>
                <w:sz w:val="28"/>
                <w:szCs w:val="28"/>
                <w:highlight w:val="none"/>
                <w:lang w:val="en-US" w:eastAsia="zh-CN" w:bidi="ar-SA"/>
              </w:rPr>
            </w:pPr>
            <w:r>
              <w:rPr>
                <w:rFonts w:hint="eastAsia" w:asciiTheme="minorEastAsia" w:hAnsiTheme="minorEastAsia" w:eastAsiaTheme="minorEastAsia" w:cstheme="minorEastAsia"/>
                <w:color w:val="auto"/>
                <w:kern w:val="0"/>
                <w:sz w:val="28"/>
                <w:szCs w:val="28"/>
                <w:highlight w:val="none"/>
                <w:lang w:val="en-US" w:eastAsia="zh-CN" w:bidi="ar-SA"/>
              </w:rPr>
              <w:t>630KVA箱式变电站</w:t>
            </w:r>
          </w:p>
        </w:tc>
        <w:tc>
          <w:tcPr>
            <w:tcW w:w="1974" w:type="dxa"/>
            <w:noWrap w:val="0"/>
            <w:vAlign w:val="center"/>
          </w:tcPr>
          <w:p>
            <w:pPr>
              <w:spacing w:line="360" w:lineRule="auto"/>
              <w:jc w:val="center"/>
              <w:rPr>
                <w:rFonts w:hint="eastAsia" w:asciiTheme="minorEastAsia" w:hAnsiTheme="minorEastAsia" w:eastAsiaTheme="minorEastAsia" w:cstheme="minorEastAsia"/>
                <w:color w:val="auto"/>
                <w:kern w:val="0"/>
                <w:sz w:val="28"/>
                <w:szCs w:val="28"/>
                <w:highlight w:val="none"/>
                <w:lang w:val="en-US" w:eastAsia="zh-CN" w:bidi="ar-SA"/>
              </w:rPr>
            </w:pPr>
            <w:r>
              <w:rPr>
                <w:rFonts w:hint="eastAsia" w:asciiTheme="minorEastAsia" w:hAnsiTheme="minorEastAsia" w:eastAsiaTheme="minorEastAsia" w:cstheme="minorEastAsia"/>
                <w:color w:val="auto"/>
                <w:kern w:val="0"/>
                <w:sz w:val="28"/>
                <w:szCs w:val="28"/>
                <w:highlight w:val="none"/>
                <w:lang w:val="en-US" w:eastAsia="zh-CN" w:bidi="ar-SA"/>
              </w:rPr>
              <w:t>工业</w:t>
            </w:r>
          </w:p>
        </w:tc>
        <w:tc>
          <w:tcPr>
            <w:tcW w:w="1343" w:type="dxa"/>
            <w:noWrap w:val="0"/>
            <w:vAlign w:val="center"/>
          </w:tcPr>
          <w:p>
            <w:pPr>
              <w:spacing w:line="360" w:lineRule="auto"/>
              <w:jc w:val="center"/>
              <w:rPr>
                <w:rFonts w:hint="eastAsia" w:asciiTheme="minorEastAsia" w:hAnsiTheme="minorEastAsia" w:eastAsiaTheme="minorEastAsia" w:cstheme="minorEastAsia"/>
                <w:color w:val="auto"/>
                <w:kern w:val="0"/>
                <w:sz w:val="28"/>
                <w:szCs w:val="28"/>
                <w:highlight w:val="none"/>
                <w:lang w:val="en-US" w:eastAsia="zh-CN" w:bidi="ar-SA"/>
              </w:rPr>
            </w:pPr>
            <w:r>
              <w:rPr>
                <w:rFonts w:hint="eastAsia" w:asciiTheme="minorEastAsia" w:hAnsiTheme="minorEastAsia" w:eastAsiaTheme="minorEastAsia" w:cstheme="minorEastAsia"/>
                <w:color w:val="auto"/>
                <w:kern w:val="0"/>
                <w:sz w:val="28"/>
                <w:szCs w:val="28"/>
                <w:highlight w:val="none"/>
                <w:lang w:val="en-US" w:eastAsia="zh-CN" w:bidi="ar-SA"/>
              </w:rPr>
              <w:t>座</w:t>
            </w:r>
          </w:p>
        </w:tc>
        <w:tc>
          <w:tcPr>
            <w:tcW w:w="1019" w:type="dxa"/>
            <w:noWrap w:val="0"/>
            <w:vAlign w:val="center"/>
          </w:tcPr>
          <w:p>
            <w:pPr>
              <w:spacing w:line="360" w:lineRule="auto"/>
              <w:jc w:val="center"/>
              <w:rPr>
                <w:rFonts w:hint="eastAsia" w:asciiTheme="minorEastAsia" w:hAnsiTheme="minorEastAsia" w:eastAsiaTheme="minorEastAsia" w:cstheme="minorEastAsia"/>
                <w:color w:val="auto"/>
                <w:kern w:val="0"/>
                <w:sz w:val="28"/>
                <w:szCs w:val="28"/>
                <w:highlight w:val="none"/>
                <w:lang w:val="en-US" w:eastAsia="zh-CN" w:bidi="ar-SA"/>
              </w:rPr>
            </w:pPr>
            <w:r>
              <w:rPr>
                <w:rFonts w:hint="eastAsia" w:asciiTheme="minorEastAsia" w:hAnsiTheme="minorEastAsia" w:eastAsiaTheme="minorEastAsia" w:cstheme="minorEastAsia"/>
                <w:color w:val="auto"/>
                <w:kern w:val="0"/>
                <w:sz w:val="28"/>
                <w:szCs w:val="28"/>
                <w:highlight w:val="none"/>
                <w:lang w:val="en-US" w:eastAsia="zh-CN" w:bidi="ar-SA"/>
              </w:rPr>
              <w:t>3</w:t>
            </w:r>
          </w:p>
        </w:tc>
        <w:tc>
          <w:tcPr>
            <w:tcW w:w="1426" w:type="dxa"/>
            <w:noWrap w:val="0"/>
            <w:vAlign w:val="center"/>
          </w:tcPr>
          <w:p>
            <w:pPr>
              <w:spacing w:line="360" w:lineRule="auto"/>
              <w:jc w:val="center"/>
              <w:rPr>
                <w:rFonts w:hint="eastAsia" w:asciiTheme="minorEastAsia" w:hAnsiTheme="minorEastAsia" w:eastAsiaTheme="minorEastAsia" w:cstheme="minorEastAsia"/>
                <w:color w:val="auto"/>
                <w:kern w:val="0"/>
                <w:sz w:val="28"/>
                <w:szCs w:val="28"/>
                <w:highlight w:val="none"/>
                <w:lang w:val="en-US" w:eastAsia="zh-CN" w:bidi="ar-SA"/>
              </w:rPr>
            </w:pPr>
            <w:r>
              <w:rPr>
                <w:rFonts w:hint="eastAsia" w:asciiTheme="minorEastAsia" w:hAnsiTheme="minorEastAsia" w:eastAsiaTheme="minorEastAsia" w:cstheme="minorEastAsia"/>
                <w:b/>
                <w:bCs/>
                <w:color w:val="auto"/>
                <w:kern w:val="0"/>
                <w:sz w:val="28"/>
                <w:szCs w:val="28"/>
                <w:highlight w:val="none"/>
                <w:lang w:val="en-US" w:eastAsia="zh-CN" w:bidi="ar-SA"/>
              </w:rPr>
              <w:t>核心产品</w:t>
            </w:r>
          </w:p>
        </w:tc>
      </w:tr>
    </w:tbl>
    <w:p>
      <w:pPr>
        <w:pStyle w:val="5"/>
        <w:numPr>
          <w:ilvl w:val="0"/>
          <w:numId w:val="0"/>
        </w:numPr>
        <w:tabs>
          <w:tab w:val="left" w:pos="0"/>
          <w:tab w:val="left" w:pos="426"/>
          <w:tab w:val="left" w:pos="576"/>
          <w:tab w:val="left" w:pos="786"/>
        </w:tabs>
        <w:spacing w:line="360" w:lineRule="auto"/>
        <w:ind w:firstLine="562" w:firstLineChars="200"/>
        <w:jc w:val="both"/>
        <w:rPr>
          <w:rFonts w:hint="eastAsia" w:asciiTheme="minorEastAsia" w:hAnsiTheme="minorEastAsia" w:eastAsiaTheme="minorEastAsia" w:cstheme="minorEastAsia"/>
          <w:color w:val="auto"/>
          <w:sz w:val="28"/>
          <w:szCs w:val="28"/>
          <w:highlight w:val="none"/>
          <w:lang w:eastAsia="zh-CN"/>
        </w:rPr>
      </w:pPr>
      <w:bookmarkStart w:id="6" w:name="_Toc32393"/>
      <w:bookmarkStart w:id="7" w:name="_Toc30113"/>
      <w:r>
        <w:rPr>
          <w:rFonts w:hint="eastAsia" w:asciiTheme="minorEastAsia" w:hAnsiTheme="minorEastAsia" w:eastAsiaTheme="minorEastAsia" w:cstheme="minorEastAsia"/>
          <w:color w:val="auto"/>
          <w:sz w:val="28"/>
          <w:szCs w:val="28"/>
          <w:highlight w:val="none"/>
          <w:lang w:eastAsia="zh-CN"/>
        </w:rPr>
        <w:t>四、技术参数要求</w:t>
      </w:r>
      <w:bookmarkEnd w:id="6"/>
      <w:bookmarkEnd w:id="7"/>
    </w:p>
    <w:p>
      <w:pPr>
        <w:jc w:val="left"/>
        <w:rPr>
          <w:rFonts w:hint="eastAsia" w:asciiTheme="minorEastAsia" w:hAnsiTheme="minorEastAsia" w:eastAsiaTheme="minorEastAsia" w:cstheme="minorEastAsia"/>
          <w:sz w:val="28"/>
          <w:szCs w:val="28"/>
          <w:lang w:eastAsia="zh-CN"/>
        </w:rPr>
      </w:pPr>
      <w:bookmarkStart w:id="8" w:name="_Hlk197330521"/>
      <w:r>
        <w:rPr>
          <w:rFonts w:hint="eastAsia" w:asciiTheme="minorEastAsia" w:hAnsiTheme="minorEastAsia" w:eastAsiaTheme="minorEastAsia" w:cstheme="minorEastAsia"/>
          <w:sz w:val="28"/>
          <w:szCs w:val="28"/>
        </w:rPr>
        <w:t>1.1 锦地苑生活1#</w:t>
      </w:r>
      <w:r>
        <w:rPr>
          <w:rFonts w:hint="eastAsia" w:asciiTheme="minorEastAsia" w:hAnsiTheme="minorEastAsia" w:eastAsiaTheme="minorEastAsia" w:cstheme="minorEastAsia"/>
          <w:sz w:val="28"/>
          <w:szCs w:val="28"/>
          <w:lang w:eastAsia="zh-CN"/>
        </w:rPr>
        <w:t>箱式变电站</w:t>
      </w:r>
    </w:p>
    <w:tbl>
      <w:tblPr>
        <w:tblStyle w:val="10"/>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69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Align w:val="center"/>
          </w:tcPr>
          <w:p>
            <w:pPr>
              <w:widowControl/>
              <w:spacing w:line="276"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参数性质</w:t>
            </w:r>
          </w:p>
        </w:tc>
        <w:tc>
          <w:tcPr>
            <w:tcW w:w="696" w:type="dxa"/>
            <w:vAlign w:val="center"/>
          </w:tcPr>
          <w:p>
            <w:pPr>
              <w:widowControl/>
              <w:spacing w:line="276"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序号</w:t>
            </w:r>
          </w:p>
        </w:tc>
        <w:tc>
          <w:tcPr>
            <w:tcW w:w="7654" w:type="dxa"/>
            <w:vAlign w:val="center"/>
          </w:tcPr>
          <w:p>
            <w:pPr>
              <w:widowControl/>
              <w:spacing w:line="276"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技术参数与性能指标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restart"/>
            <w:vAlign w:val="center"/>
          </w:tcPr>
          <w:p>
            <w:pPr>
              <w:bidi w:val="0"/>
              <w:rPr>
                <w:rFonts w:hint="eastAsia" w:ascii="仿宋" w:hAnsi="仿宋" w:eastAsia="仿宋" w:cs="仿宋"/>
                <w:sz w:val="28"/>
                <w:szCs w:val="28"/>
                <w:lang w:val="en-US" w:eastAsia="zh-CN"/>
              </w:rPr>
            </w:pPr>
          </w:p>
          <w:p>
            <w:pPr>
              <w:bidi w:val="0"/>
              <w:rPr>
                <w:rFonts w:hint="eastAsia" w:ascii="仿宋" w:hAnsi="仿宋" w:eastAsia="仿宋" w:cs="仿宋"/>
                <w:sz w:val="28"/>
                <w:szCs w:val="28"/>
                <w:lang w:val="en-US" w:eastAsia="zh-CN"/>
              </w:rPr>
            </w:pPr>
          </w:p>
          <w:p>
            <w:pPr>
              <w:bidi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630KVA箱式变电站</w:t>
            </w:r>
          </w:p>
        </w:tc>
        <w:tc>
          <w:tcPr>
            <w:tcW w:w="696" w:type="dxa"/>
            <w:vAlign w:val="center"/>
          </w:tcPr>
          <w:p>
            <w:pPr>
              <w:widowControl/>
              <w:spacing w:line="276" w:lineRule="auto"/>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w:t>
            </w:r>
          </w:p>
        </w:tc>
        <w:tc>
          <w:tcPr>
            <w:tcW w:w="7654" w:type="dxa"/>
            <w:vAlign w:val="center"/>
          </w:tcPr>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高压环网柜:HXGN-12  1AH01</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主要配置及参数：</w:t>
            </w:r>
          </w:p>
          <w:p>
            <w:pPr>
              <w:widowControl/>
              <w:numPr>
                <w:ilvl w:val="0"/>
                <w:numId w:val="0"/>
              </w:numPr>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w:t>
            </w:r>
            <w:r>
              <w:rPr>
                <w:rFonts w:hint="eastAsia" w:ascii="仿宋" w:hAnsi="仿宋" w:eastAsia="仿宋" w:cs="仿宋"/>
                <w:color w:val="000000" w:themeColor="text1"/>
                <w:kern w:val="0"/>
                <w:sz w:val="28"/>
                <w:szCs w:val="28"/>
                <w14:textFill>
                  <w14:solidFill>
                    <w14:schemeClr w14:val="tx1"/>
                  </w14:solidFill>
                </w14:textFill>
              </w:rPr>
              <w:t>隔离开关：GN30-12/630A 含机械闭锁</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2、固定式真空断路器：VS1-12/630-31.5KA</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3、电流互感器：LZZBJ9-10 75/5A 0.5/10P20</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4、微机保护装置：瞬时电流速断、带时限电流速断、反时限过负荷、单相接地故障、开门跳闸，测量功能、监测功能、控制功能等</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5、其他配置：带电显示装置DXN-Q(带电磁锁)温湿度控制器(含上下仓加热器)、UPS电源：1000VA</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6、避雷器：HY5WZ-17/45</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7、主母线规格：TMY-3*（50mm×5mm）</w:t>
            </w:r>
          </w:p>
          <w:p>
            <w:pPr>
              <w:widowControl/>
              <w:spacing w:line="276" w:lineRule="auto"/>
              <w:rPr>
                <w:rFonts w:hint="default"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8、柜体（宽*深*高）：900*1000*1950</w:t>
            </w:r>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mm）（±50mm）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continue"/>
            <w:vAlign w:val="center"/>
          </w:tcPr>
          <w:p>
            <w:pPr>
              <w:widowControl/>
              <w:spacing w:line="276" w:lineRule="auto"/>
              <w:jc w:val="center"/>
              <w:rPr>
                <w:rFonts w:hint="eastAsia" w:ascii="仿宋" w:hAnsi="仿宋" w:eastAsia="仿宋" w:cs="仿宋"/>
                <w:color w:val="000000" w:themeColor="text1"/>
                <w:kern w:val="0"/>
                <w:sz w:val="28"/>
                <w:szCs w:val="28"/>
                <w14:textFill>
                  <w14:solidFill>
                    <w14:schemeClr w14:val="tx1"/>
                  </w14:solidFill>
                </w14:textFill>
              </w:rPr>
            </w:pPr>
          </w:p>
        </w:tc>
        <w:tc>
          <w:tcPr>
            <w:tcW w:w="696" w:type="dxa"/>
            <w:vAlign w:val="center"/>
          </w:tcPr>
          <w:p>
            <w:pPr>
              <w:widowControl/>
              <w:spacing w:line="276" w:lineRule="auto"/>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w:t>
            </w:r>
          </w:p>
        </w:tc>
        <w:tc>
          <w:tcPr>
            <w:tcW w:w="7654" w:type="dxa"/>
            <w:vAlign w:val="center"/>
          </w:tcPr>
          <w:p>
            <w:pPr>
              <w:widowControl/>
              <w:numPr>
                <w:ilvl w:val="0"/>
                <w:numId w:val="0"/>
              </w:numPr>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w:t>
            </w:r>
            <w:r>
              <w:rPr>
                <w:rFonts w:hint="eastAsia" w:ascii="仿宋" w:hAnsi="仿宋" w:eastAsia="仿宋" w:cs="仿宋"/>
                <w:color w:val="000000" w:themeColor="text1"/>
                <w:kern w:val="0"/>
                <w:sz w:val="28"/>
                <w:szCs w:val="28"/>
                <w14:textFill>
                  <w14:solidFill>
                    <w14:schemeClr w14:val="tx1"/>
                  </w14:solidFill>
                </w14:textFill>
              </w:rPr>
              <w:t>干式变压器（铜芯）规格：SCB14-630kVA-10/0.4kV</w:t>
            </w:r>
          </w:p>
          <w:p>
            <w:pPr>
              <w:widowControl/>
              <w:numPr>
                <w:ilvl w:val="0"/>
                <w:numId w:val="0"/>
              </w:numPr>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w:t>
            </w:r>
            <w:r>
              <w:rPr>
                <w:rFonts w:hint="eastAsia" w:ascii="仿宋" w:hAnsi="仿宋" w:eastAsia="仿宋" w:cs="仿宋"/>
                <w:color w:val="000000" w:themeColor="text1"/>
                <w:kern w:val="0"/>
                <w:sz w:val="28"/>
                <w:szCs w:val="28"/>
                <w14:textFill>
                  <w14:solidFill>
                    <w14:schemeClr w14:val="tx1"/>
                  </w14:solidFill>
                </w14:textFill>
              </w:rPr>
              <w:t>连接方式：D yn11；</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color w:val="000000" w:themeColor="text1"/>
                <w:kern w:val="0"/>
                <w:sz w:val="28"/>
                <w:szCs w:val="28"/>
                <w14:textFill>
                  <w14:solidFill>
                    <w14:schemeClr w14:val="tx1"/>
                  </w14:solidFill>
                </w14:textFill>
              </w:rPr>
              <w:t>空载损耗和负载损耗符合GB 20052-2020表2中2级能效标准</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4、</w:t>
            </w:r>
            <w:r>
              <w:rPr>
                <w:rFonts w:hint="eastAsia" w:ascii="仿宋" w:hAnsi="仿宋" w:eastAsia="仿宋" w:cs="仿宋"/>
                <w:color w:val="000000" w:themeColor="text1"/>
                <w:kern w:val="0"/>
                <w:sz w:val="28"/>
                <w:szCs w:val="28"/>
                <w14:textFill>
                  <w14:solidFill>
                    <w14:schemeClr w14:val="tx1"/>
                  </w14:solidFill>
                </w14:textFill>
              </w:rPr>
              <w:t>行程开关、温度控制器、轴流风机、检修灯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continue"/>
            <w:vAlign w:val="center"/>
          </w:tcPr>
          <w:p>
            <w:pPr>
              <w:widowControl/>
              <w:spacing w:line="276" w:lineRule="auto"/>
              <w:jc w:val="center"/>
              <w:rPr>
                <w:rFonts w:hint="eastAsia" w:ascii="仿宋" w:hAnsi="仿宋" w:eastAsia="仿宋" w:cs="仿宋"/>
                <w:color w:val="000000" w:themeColor="text1"/>
                <w:kern w:val="0"/>
                <w:sz w:val="28"/>
                <w:szCs w:val="28"/>
                <w14:textFill>
                  <w14:solidFill>
                    <w14:schemeClr w14:val="tx1"/>
                  </w14:solidFill>
                </w14:textFill>
              </w:rPr>
            </w:pPr>
          </w:p>
        </w:tc>
        <w:tc>
          <w:tcPr>
            <w:tcW w:w="696" w:type="dxa"/>
            <w:vAlign w:val="center"/>
          </w:tcPr>
          <w:p>
            <w:pPr>
              <w:widowControl/>
              <w:spacing w:line="276" w:lineRule="auto"/>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w:t>
            </w:r>
          </w:p>
        </w:tc>
        <w:tc>
          <w:tcPr>
            <w:tcW w:w="7654" w:type="dxa"/>
            <w:vAlign w:val="center"/>
          </w:tcPr>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低压进线开关柜：GGD 1AL01</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主要配置及参数：</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1、抽屉式框架断路器：MCB-2000/3 1250抽屉式 三段保护 控制电压:AC220V</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2、测量电流互感器：BH-0.66 1200/5 0.5级</w:t>
            </w:r>
          </w:p>
          <w:p>
            <w:pPr>
              <w:widowControl/>
              <w:spacing w:line="276" w:lineRule="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3、多功能电力仪表：校方提供</w:t>
            </w:r>
            <w:r>
              <w:rPr>
                <w:rFonts w:hint="eastAsia" w:ascii="仿宋" w:hAnsi="仿宋" w:eastAsia="仿宋" w:cs="仿宋"/>
                <w:color w:val="000000" w:themeColor="text1"/>
                <w:kern w:val="0"/>
                <w:sz w:val="28"/>
                <w:szCs w:val="28"/>
                <w:lang w:val="en-US" w:eastAsia="zh-CN"/>
                <w14:textFill>
                  <w14:solidFill>
                    <w14:schemeClr w14:val="tx1"/>
                  </w14:solidFill>
                </w14:textFill>
              </w:rPr>
              <w:t>1只</w:t>
            </w:r>
            <w:r>
              <w:rPr>
                <w:rFonts w:hint="eastAsia" w:ascii="仿宋" w:hAnsi="仿宋" w:eastAsia="仿宋" w:cs="仿宋"/>
                <w:color w:val="000000" w:themeColor="text1"/>
                <w:kern w:val="0"/>
                <w:sz w:val="28"/>
                <w:szCs w:val="28"/>
                <w14:textFill>
                  <w14:solidFill>
                    <w14:schemeClr w14:val="tx1"/>
                  </w14:solidFill>
                </w14:textFill>
              </w:rPr>
              <w:t>满足与学校现有能耗平台</w:t>
            </w:r>
            <w:r>
              <w:rPr>
                <w:rFonts w:hint="eastAsia" w:ascii="仿宋" w:hAnsi="仿宋" w:eastAsia="仿宋" w:cs="仿宋"/>
                <w:color w:val="000000" w:themeColor="text1"/>
                <w:kern w:val="0"/>
                <w:sz w:val="28"/>
                <w:szCs w:val="28"/>
                <w:lang w:eastAsia="zh-CN"/>
                <w14:textFill>
                  <w14:solidFill>
                    <w14:schemeClr w14:val="tx1"/>
                  </w14:solidFill>
                </w14:textFill>
              </w:rPr>
              <w:t>匹配</w:t>
            </w:r>
            <w:r>
              <w:rPr>
                <w:rFonts w:hint="eastAsia" w:ascii="仿宋" w:hAnsi="仿宋" w:eastAsia="仿宋" w:cs="仿宋"/>
                <w:color w:val="000000" w:themeColor="text1"/>
                <w:kern w:val="0"/>
                <w:sz w:val="28"/>
                <w:szCs w:val="28"/>
                <w14:textFill>
                  <w14:solidFill>
                    <w14:schemeClr w14:val="tx1"/>
                  </w14:solidFill>
                </w14:textFill>
              </w:rPr>
              <w:t>多功能电力仪表</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4、计量电流互感器：BH-0.66 1200/5 0.2S级</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5、配置计量电度表：3*220/380V 1.5(6)A</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6</w:t>
            </w:r>
            <w:r>
              <w:rPr>
                <w:rFonts w:hint="eastAsia" w:ascii="仿宋" w:hAnsi="仿宋" w:eastAsia="仿宋" w:cs="仿宋"/>
                <w:color w:val="000000" w:themeColor="text1"/>
                <w:kern w:val="0"/>
                <w:sz w:val="28"/>
                <w:szCs w:val="28"/>
                <w14:textFill>
                  <w14:solidFill>
                    <w14:schemeClr w14:val="tx1"/>
                  </w14:solidFill>
                </w14:textFill>
              </w:rPr>
              <w:t>、浪涌保护器：T1级保护</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7</w:t>
            </w:r>
            <w:r>
              <w:rPr>
                <w:rFonts w:hint="eastAsia" w:ascii="仿宋" w:hAnsi="仿宋" w:eastAsia="仿宋" w:cs="仿宋"/>
                <w:color w:val="000000" w:themeColor="text1"/>
                <w:kern w:val="0"/>
                <w:sz w:val="28"/>
                <w:szCs w:val="28"/>
                <w14:textFill>
                  <w14:solidFill>
                    <w14:schemeClr w14:val="tx1"/>
                  </w14:solidFill>
                </w14:textFill>
              </w:rPr>
              <w:t>、主母线规格：TMY-4×80mm×8mm+1×50mm×5</w:t>
            </w:r>
          </w:p>
          <w:p>
            <w:pPr>
              <w:widowControl/>
              <w:spacing w:line="276" w:lineRule="auto"/>
              <w:rPr>
                <w:rFonts w:hint="default" w:ascii="仿宋" w:hAnsi="仿宋" w:eastAsia="仿宋" w:cs="仿宋"/>
                <w:color w:val="000000" w:themeColor="text1"/>
                <w:kern w:val="0"/>
                <w:sz w:val="28"/>
                <w:szCs w:val="28"/>
                <w:lang w:val="en-US"/>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8</w:t>
            </w:r>
            <w:r>
              <w:rPr>
                <w:rFonts w:hint="eastAsia" w:ascii="仿宋" w:hAnsi="仿宋" w:eastAsia="仿宋" w:cs="仿宋"/>
                <w:color w:val="000000" w:themeColor="text1"/>
                <w:kern w:val="0"/>
                <w:sz w:val="28"/>
                <w:szCs w:val="28"/>
                <w14:textFill>
                  <w14:solidFill>
                    <w14:schemeClr w14:val="tx1"/>
                  </w14:solidFill>
                </w14:textFill>
              </w:rPr>
              <w:t>、柜体（宽*深*高）：800</w:t>
            </w:r>
            <w:r>
              <w:rPr>
                <w:rFonts w:hint="eastAsia" w:ascii="仿宋" w:hAnsi="仿宋" w:eastAsia="仿宋" w:cs="仿宋"/>
                <w:color w:val="000000" w:themeColor="text1"/>
                <w:kern w:val="0"/>
                <w:sz w:val="28"/>
                <w:szCs w:val="28"/>
                <w:lang w:val="en-US" w:eastAsia="zh-CN"/>
                <w14:textFill>
                  <w14:solidFill>
                    <w14:schemeClr w14:val="tx1"/>
                  </w14:solidFill>
                </w14:textFill>
              </w:rPr>
              <w:t>mm</w:t>
            </w:r>
            <w:r>
              <w:rPr>
                <w:rFonts w:hint="eastAsia" w:ascii="仿宋" w:hAnsi="仿宋" w:eastAsia="仿宋" w:cs="仿宋"/>
                <w:color w:val="000000" w:themeColor="text1"/>
                <w:kern w:val="0"/>
                <w:sz w:val="28"/>
                <w:szCs w:val="28"/>
                <w14:textFill>
                  <w14:solidFill>
                    <w14:schemeClr w14:val="tx1"/>
                  </w14:solidFill>
                </w14:textFill>
              </w:rPr>
              <w:t>*600</w:t>
            </w:r>
            <w:r>
              <w:rPr>
                <w:rFonts w:hint="eastAsia" w:ascii="仿宋" w:hAnsi="仿宋" w:eastAsia="仿宋" w:cs="仿宋"/>
                <w:color w:val="000000" w:themeColor="text1"/>
                <w:kern w:val="0"/>
                <w:sz w:val="28"/>
                <w:szCs w:val="28"/>
                <w:lang w:val="en-US" w:eastAsia="zh-CN"/>
                <w14:textFill>
                  <w14:solidFill>
                    <w14:schemeClr w14:val="tx1"/>
                  </w14:solidFill>
                </w14:textFill>
              </w:rPr>
              <w:t>mm</w:t>
            </w:r>
            <w:r>
              <w:rPr>
                <w:rFonts w:hint="eastAsia" w:ascii="仿宋" w:hAnsi="仿宋" w:eastAsia="仿宋" w:cs="仿宋"/>
                <w:color w:val="000000" w:themeColor="text1"/>
                <w:kern w:val="0"/>
                <w:sz w:val="28"/>
                <w:szCs w:val="28"/>
                <w14:textFill>
                  <w14:solidFill>
                    <w14:schemeClr w14:val="tx1"/>
                  </w14:solidFill>
                </w14:textFill>
              </w:rPr>
              <w:t>*1950</w:t>
            </w:r>
            <w:r>
              <w:rPr>
                <w:rFonts w:hint="eastAsia" w:ascii="仿宋" w:hAnsi="仿宋" w:eastAsia="仿宋" w:cs="仿宋"/>
                <w:color w:val="000000" w:themeColor="text1"/>
                <w:kern w:val="0"/>
                <w:sz w:val="28"/>
                <w:szCs w:val="28"/>
                <w:lang w:val="en-US" w:eastAsia="zh-CN"/>
                <w14:textFill>
                  <w14:solidFill>
                    <w14:schemeClr w14:val="tx1"/>
                  </w14:solidFill>
                </w14:textFill>
              </w:rPr>
              <w:t>mm（±50mm）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continue"/>
            <w:vAlign w:val="center"/>
          </w:tcPr>
          <w:p>
            <w:pPr>
              <w:widowControl/>
              <w:spacing w:line="276" w:lineRule="auto"/>
              <w:jc w:val="center"/>
              <w:rPr>
                <w:rFonts w:hint="eastAsia" w:ascii="仿宋" w:hAnsi="仿宋" w:eastAsia="仿宋" w:cs="仿宋"/>
                <w:color w:val="000000" w:themeColor="text1"/>
                <w:kern w:val="0"/>
                <w:sz w:val="28"/>
                <w:szCs w:val="28"/>
                <w14:textFill>
                  <w14:solidFill>
                    <w14:schemeClr w14:val="tx1"/>
                  </w14:solidFill>
                </w14:textFill>
              </w:rPr>
            </w:pPr>
          </w:p>
        </w:tc>
        <w:tc>
          <w:tcPr>
            <w:tcW w:w="696" w:type="dxa"/>
            <w:vAlign w:val="center"/>
          </w:tcPr>
          <w:p>
            <w:pPr>
              <w:widowControl/>
              <w:spacing w:line="276" w:lineRule="auto"/>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w:t>
            </w:r>
          </w:p>
        </w:tc>
        <w:tc>
          <w:tcPr>
            <w:tcW w:w="7654" w:type="dxa"/>
            <w:vAlign w:val="center"/>
          </w:tcPr>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无功补偿柜：GGJ  1AL02 240kvar</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主要配置及参数：</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xml:space="preserve">1、刀熔开关：HR3BX-600/32 600A </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xml:space="preserve">2、电流互感器：BH-0.66 500/5A </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3、低压熔断器：RT36-63A/3</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4、交流接触器：CJ19-63/21</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5、电容器：BSMJ0.45-30-3</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6、无功补偿控制器</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7、液晶多功能电力仪表：具备电流、电压、电度、有功、无功、功率因数、MODBUS485接口等功能</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8、主母线规格：TMY-4×80mm×8mm+1×50mm×5</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9、氧化锌避雷器：HY1.5WR-0.28/1.3</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10、柜体（宽*深*高）：800</w:t>
            </w:r>
            <w:r>
              <w:rPr>
                <w:rFonts w:hint="eastAsia" w:ascii="仿宋" w:hAnsi="仿宋" w:eastAsia="仿宋" w:cs="仿宋"/>
                <w:color w:val="000000" w:themeColor="text1"/>
                <w:kern w:val="0"/>
                <w:sz w:val="28"/>
                <w:szCs w:val="28"/>
                <w:lang w:val="en-US" w:eastAsia="zh-CN"/>
                <w14:textFill>
                  <w14:solidFill>
                    <w14:schemeClr w14:val="tx1"/>
                  </w14:solidFill>
                </w14:textFill>
              </w:rPr>
              <w:t>mm</w:t>
            </w:r>
            <w:r>
              <w:rPr>
                <w:rFonts w:hint="eastAsia" w:ascii="仿宋" w:hAnsi="仿宋" w:eastAsia="仿宋" w:cs="仿宋"/>
                <w:color w:val="000000" w:themeColor="text1"/>
                <w:kern w:val="0"/>
                <w:sz w:val="28"/>
                <w:szCs w:val="28"/>
                <w14:textFill>
                  <w14:solidFill>
                    <w14:schemeClr w14:val="tx1"/>
                  </w14:solidFill>
                </w14:textFill>
              </w:rPr>
              <w:t>*600</w:t>
            </w:r>
            <w:r>
              <w:rPr>
                <w:rFonts w:hint="eastAsia" w:ascii="仿宋" w:hAnsi="仿宋" w:eastAsia="仿宋" w:cs="仿宋"/>
                <w:color w:val="000000" w:themeColor="text1"/>
                <w:kern w:val="0"/>
                <w:sz w:val="28"/>
                <w:szCs w:val="28"/>
                <w:lang w:val="en-US" w:eastAsia="zh-CN"/>
                <w14:textFill>
                  <w14:solidFill>
                    <w14:schemeClr w14:val="tx1"/>
                  </w14:solidFill>
                </w14:textFill>
              </w:rPr>
              <w:t>mm</w:t>
            </w:r>
            <w:r>
              <w:rPr>
                <w:rFonts w:hint="eastAsia" w:ascii="仿宋" w:hAnsi="仿宋" w:eastAsia="仿宋" w:cs="仿宋"/>
                <w:color w:val="000000" w:themeColor="text1"/>
                <w:kern w:val="0"/>
                <w:sz w:val="28"/>
                <w:szCs w:val="28"/>
                <w14:textFill>
                  <w14:solidFill>
                    <w14:schemeClr w14:val="tx1"/>
                  </w14:solidFill>
                </w14:textFill>
              </w:rPr>
              <w:t>*1950</w:t>
            </w:r>
            <w:r>
              <w:rPr>
                <w:rFonts w:hint="eastAsia" w:ascii="仿宋" w:hAnsi="仿宋" w:eastAsia="仿宋" w:cs="仿宋"/>
                <w:color w:val="000000" w:themeColor="text1"/>
                <w:kern w:val="0"/>
                <w:sz w:val="28"/>
                <w:szCs w:val="28"/>
                <w:lang w:val="en-US" w:eastAsia="zh-CN"/>
                <w14:textFill>
                  <w14:solidFill>
                    <w14:schemeClr w14:val="tx1"/>
                  </w14:solidFill>
                </w14:textFill>
              </w:rPr>
              <w:t>mm（±50mm）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continue"/>
            <w:vAlign w:val="center"/>
          </w:tcPr>
          <w:p>
            <w:pPr>
              <w:widowControl/>
              <w:spacing w:line="276" w:lineRule="auto"/>
              <w:jc w:val="center"/>
              <w:rPr>
                <w:rFonts w:hint="eastAsia" w:ascii="仿宋" w:hAnsi="仿宋" w:eastAsia="仿宋" w:cs="仿宋"/>
                <w:color w:val="000000" w:themeColor="text1"/>
                <w:kern w:val="0"/>
                <w:sz w:val="28"/>
                <w:szCs w:val="28"/>
                <w14:textFill>
                  <w14:solidFill>
                    <w14:schemeClr w14:val="tx1"/>
                  </w14:solidFill>
                </w14:textFill>
              </w:rPr>
            </w:pPr>
          </w:p>
        </w:tc>
        <w:tc>
          <w:tcPr>
            <w:tcW w:w="696" w:type="dxa"/>
            <w:vAlign w:val="center"/>
          </w:tcPr>
          <w:p>
            <w:pPr>
              <w:widowControl/>
              <w:spacing w:line="276" w:lineRule="auto"/>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w:t>
            </w:r>
          </w:p>
        </w:tc>
        <w:tc>
          <w:tcPr>
            <w:tcW w:w="7654" w:type="dxa"/>
            <w:vAlign w:val="center"/>
          </w:tcPr>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低压出线开关柜：GGD  1AL03</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主要配置及参数：</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1、刀开关：HD13BX-1500/31 1只</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2、塑壳断路器：MCCB-400S/3300 630A 2只</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3、塑壳断路器：MCCB-400S/3300 400A 2只</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4、塑壳断路器：MCCB-400S/3300 315A 2只</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5、电流互感器 ：BH-0.66 1200/5A 3只</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6、液晶多功能电力仪表：具备电流、电压、电度、MODBUS485接口等功能</w:t>
            </w:r>
          </w:p>
          <w:p>
            <w:pPr>
              <w:widowControl/>
              <w:spacing w:line="276" w:lineRule="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7、出线回路液晶多功能电力仪表：校方提供</w:t>
            </w:r>
            <w:r>
              <w:rPr>
                <w:rFonts w:hint="eastAsia" w:ascii="仿宋" w:hAnsi="仿宋" w:eastAsia="仿宋" w:cs="仿宋"/>
                <w:color w:val="000000" w:themeColor="text1"/>
                <w:kern w:val="0"/>
                <w:sz w:val="28"/>
                <w:szCs w:val="28"/>
                <w:lang w:val="en-US" w:eastAsia="zh-CN"/>
                <w14:textFill>
                  <w14:solidFill>
                    <w14:schemeClr w14:val="tx1"/>
                  </w14:solidFill>
                </w14:textFill>
              </w:rPr>
              <w:t>6只</w:t>
            </w:r>
            <w:r>
              <w:rPr>
                <w:rFonts w:hint="eastAsia" w:ascii="仿宋" w:hAnsi="仿宋" w:eastAsia="仿宋" w:cs="仿宋"/>
                <w:color w:val="000000" w:themeColor="text1"/>
                <w:kern w:val="0"/>
                <w:sz w:val="28"/>
                <w:szCs w:val="28"/>
                <w14:textFill>
                  <w14:solidFill>
                    <w14:schemeClr w14:val="tx1"/>
                  </w14:solidFill>
                </w14:textFill>
              </w:rPr>
              <w:t>满足与学校现有能耗平台</w:t>
            </w:r>
            <w:r>
              <w:rPr>
                <w:rFonts w:hint="eastAsia" w:ascii="仿宋" w:hAnsi="仿宋" w:eastAsia="仿宋" w:cs="仿宋"/>
                <w:color w:val="000000" w:themeColor="text1"/>
                <w:kern w:val="0"/>
                <w:sz w:val="28"/>
                <w:szCs w:val="28"/>
                <w:lang w:eastAsia="zh-CN"/>
                <w14:textFill>
                  <w14:solidFill>
                    <w14:schemeClr w14:val="tx1"/>
                  </w14:solidFill>
                </w14:textFill>
              </w:rPr>
              <w:t>匹配</w:t>
            </w:r>
            <w:r>
              <w:rPr>
                <w:rFonts w:hint="eastAsia" w:ascii="仿宋" w:hAnsi="仿宋" w:eastAsia="仿宋" w:cs="仿宋"/>
                <w:color w:val="000000" w:themeColor="text1"/>
                <w:kern w:val="0"/>
                <w:sz w:val="28"/>
                <w:szCs w:val="28"/>
                <w14:textFill>
                  <w14:solidFill>
                    <w14:schemeClr w14:val="tx1"/>
                  </w14:solidFill>
                </w14:textFill>
              </w:rPr>
              <w:t>多功能电力仪表</w:t>
            </w:r>
            <w:r>
              <w:rPr>
                <w:rFonts w:hint="eastAsia" w:ascii="仿宋" w:hAnsi="仿宋" w:eastAsia="仿宋" w:cs="仿宋"/>
                <w:color w:val="000000" w:themeColor="text1"/>
                <w:kern w:val="0"/>
                <w:sz w:val="28"/>
                <w:szCs w:val="28"/>
                <w:lang w:eastAsia="zh-CN"/>
                <w14:textFill>
                  <w14:solidFill>
                    <w14:schemeClr w14:val="tx1"/>
                  </w14:solidFill>
                </w14:textFill>
              </w:rPr>
              <w:t>。</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8、出线回路电流互感器：BH-0.66 **/5A 0.2S级 变比与出线开关匹配</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9、主母线规格：TMY-4×80mm×8mm+1×50mm×5</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10、柜体（宽*深*高）：800</w:t>
            </w:r>
            <w:r>
              <w:rPr>
                <w:rFonts w:hint="eastAsia" w:ascii="仿宋" w:hAnsi="仿宋" w:eastAsia="仿宋" w:cs="仿宋"/>
                <w:color w:val="000000" w:themeColor="text1"/>
                <w:kern w:val="0"/>
                <w:sz w:val="28"/>
                <w:szCs w:val="28"/>
                <w:lang w:val="en-US" w:eastAsia="zh-CN"/>
                <w14:textFill>
                  <w14:solidFill>
                    <w14:schemeClr w14:val="tx1"/>
                  </w14:solidFill>
                </w14:textFill>
              </w:rPr>
              <w:t>mm</w:t>
            </w:r>
            <w:r>
              <w:rPr>
                <w:rFonts w:hint="eastAsia" w:ascii="仿宋" w:hAnsi="仿宋" w:eastAsia="仿宋" w:cs="仿宋"/>
                <w:color w:val="000000" w:themeColor="text1"/>
                <w:kern w:val="0"/>
                <w:sz w:val="28"/>
                <w:szCs w:val="28"/>
                <w14:textFill>
                  <w14:solidFill>
                    <w14:schemeClr w14:val="tx1"/>
                  </w14:solidFill>
                </w14:textFill>
              </w:rPr>
              <w:t>*600</w:t>
            </w:r>
            <w:r>
              <w:rPr>
                <w:rFonts w:hint="eastAsia" w:ascii="仿宋" w:hAnsi="仿宋" w:eastAsia="仿宋" w:cs="仿宋"/>
                <w:color w:val="000000" w:themeColor="text1"/>
                <w:kern w:val="0"/>
                <w:sz w:val="28"/>
                <w:szCs w:val="28"/>
                <w:lang w:val="en-US" w:eastAsia="zh-CN"/>
                <w14:textFill>
                  <w14:solidFill>
                    <w14:schemeClr w14:val="tx1"/>
                  </w14:solidFill>
                </w14:textFill>
              </w:rPr>
              <w:t>mm</w:t>
            </w:r>
            <w:r>
              <w:rPr>
                <w:rFonts w:hint="eastAsia" w:ascii="仿宋" w:hAnsi="仿宋" w:eastAsia="仿宋" w:cs="仿宋"/>
                <w:color w:val="000000" w:themeColor="text1"/>
                <w:kern w:val="0"/>
                <w:sz w:val="28"/>
                <w:szCs w:val="28"/>
                <w14:textFill>
                  <w14:solidFill>
                    <w14:schemeClr w14:val="tx1"/>
                  </w14:solidFill>
                </w14:textFill>
              </w:rPr>
              <w:t>*1950</w:t>
            </w:r>
            <w:r>
              <w:rPr>
                <w:rFonts w:hint="eastAsia" w:ascii="仿宋" w:hAnsi="仿宋" w:eastAsia="仿宋" w:cs="仿宋"/>
                <w:color w:val="000000" w:themeColor="text1"/>
                <w:kern w:val="0"/>
                <w:sz w:val="28"/>
                <w:szCs w:val="28"/>
                <w:lang w:val="en-US" w:eastAsia="zh-CN"/>
                <w14:textFill>
                  <w14:solidFill>
                    <w14:schemeClr w14:val="tx1"/>
                  </w14:solidFill>
                </w14:textFill>
              </w:rPr>
              <w:t>mm（±50mm）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continue"/>
            <w:vAlign w:val="center"/>
          </w:tcPr>
          <w:p>
            <w:pPr>
              <w:widowControl/>
              <w:spacing w:line="276" w:lineRule="auto"/>
              <w:jc w:val="center"/>
              <w:rPr>
                <w:rFonts w:hint="eastAsia" w:ascii="仿宋" w:hAnsi="仿宋" w:eastAsia="仿宋" w:cs="仿宋"/>
                <w:color w:val="000000" w:themeColor="text1"/>
                <w:kern w:val="0"/>
                <w:sz w:val="28"/>
                <w:szCs w:val="28"/>
                <w14:textFill>
                  <w14:solidFill>
                    <w14:schemeClr w14:val="tx1"/>
                  </w14:solidFill>
                </w14:textFill>
              </w:rPr>
            </w:pPr>
          </w:p>
        </w:tc>
        <w:tc>
          <w:tcPr>
            <w:tcW w:w="696" w:type="dxa"/>
            <w:shd w:val="clear" w:color="auto" w:fill="auto"/>
            <w:vAlign w:val="center"/>
          </w:tcPr>
          <w:p>
            <w:pPr>
              <w:widowControl/>
              <w:spacing w:line="276" w:lineRule="auto"/>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w:t>
            </w:r>
          </w:p>
        </w:tc>
        <w:tc>
          <w:tcPr>
            <w:tcW w:w="7654" w:type="dxa"/>
            <w:shd w:val="clear" w:color="auto" w:fill="auto"/>
            <w:vAlign w:val="center"/>
          </w:tcPr>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低压出线开关柜：GGD  1AL04</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主要配置及参数：</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1、刀开关：HD13BX-1500/31 1只</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2、塑壳断路器：MCCB-400S/3300 630A 2只</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3、塑壳断路器：MCCB-400S/3300 400A 2只</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4、塑壳断路器：MCCB-400S/3300 250A 2只</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5、电流互感器 ：BH-0.66 1200/5A 3只</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6、液晶多功能电力仪表：具备电流、电压、电度、MODBUS485接口等功能</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7、出线回路液晶多功能电力仪表：校方提供</w:t>
            </w:r>
            <w:r>
              <w:rPr>
                <w:rFonts w:hint="eastAsia" w:ascii="仿宋" w:hAnsi="仿宋" w:eastAsia="仿宋" w:cs="仿宋"/>
                <w:color w:val="000000" w:themeColor="text1"/>
                <w:kern w:val="0"/>
                <w:sz w:val="28"/>
                <w:szCs w:val="28"/>
                <w:lang w:val="en-US" w:eastAsia="zh-CN"/>
                <w14:textFill>
                  <w14:solidFill>
                    <w14:schemeClr w14:val="tx1"/>
                  </w14:solidFill>
                </w14:textFill>
              </w:rPr>
              <w:t>2只</w:t>
            </w:r>
            <w:r>
              <w:rPr>
                <w:rFonts w:hint="eastAsia" w:ascii="仿宋" w:hAnsi="仿宋" w:eastAsia="仿宋" w:cs="仿宋"/>
                <w:color w:val="000000" w:themeColor="text1"/>
                <w:kern w:val="0"/>
                <w:sz w:val="28"/>
                <w:szCs w:val="28"/>
                <w14:textFill>
                  <w14:solidFill>
                    <w14:schemeClr w14:val="tx1"/>
                  </w14:solidFill>
                </w14:textFill>
              </w:rPr>
              <w:t>满足与学校现有能耗平台</w:t>
            </w:r>
            <w:r>
              <w:rPr>
                <w:rFonts w:hint="eastAsia" w:ascii="仿宋" w:hAnsi="仿宋" w:eastAsia="仿宋" w:cs="仿宋"/>
                <w:color w:val="000000" w:themeColor="text1"/>
                <w:kern w:val="0"/>
                <w:sz w:val="28"/>
                <w:szCs w:val="28"/>
                <w:lang w:eastAsia="zh-CN"/>
                <w14:textFill>
                  <w14:solidFill>
                    <w14:schemeClr w14:val="tx1"/>
                  </w14:solidFill>
                </w14:textFill>
              </w:rPr>
              <w:t>匹配</w:t>
            </w:r>
            <w:r>
              <w:rPr>
                <w:rFonts w:hint="eastAsia" w:ascii="仿宋" w:hAnsi="仿宋" w:eastAsia="仿宋" w:cs="仿宋"/>
                <w:color w:val="000000" w:themeColor="text1"/>
                <w:kern w:val="0"/>
                <w:sz w:val="28"/>
                <w:szCs w:val="28"/>
                <w:lang w:val="en-US" w:eastAsia="zh-CN"/>
                <w14:textFill>
                  <w14:solidFill>
                    <w14:schemeClr w14:val="tx1"/>
                  </w14:solidFill>
                </w14:textFill>
              </w:rPr>
              <w:t>多功能电力仪表</w:t>
            </w:r>
            <w:r>
              <w:rPr>
                <w:rFonts w:hint="eastAsia" w:ascii="仿宋" w:hAnsi="仿宋" w:eastAsia="仿宋" w:cs="仿宋"/>
                <w:color w:val="000000" w:themeColor="text1"/>
                <w:kern w:val="0"/>
                <w:sz w:val="28"/>
                <w:szCs w:val="28"/>
                <w14:textFill>
                  <w14:solidFill>
                    <w14:schemeClr w14:val="tx1"/>
                  </w14:solidFill>
                </w14:textFill>
              </w:rPr>
              <w:t>，供应商</w:t>
            </w:r>
            <w:r>
              <w:rPr>
                <w:rFonts w:hint="eastAsia" w:ascii="仿宋" w:hAnsi="仿宋" w:eastAsia="仿宋" w:cs="仿宋"/>
                <w:color w:val="000000" w:themeColor="text1"/>
                <w:kern w:val="0"/>
                <w:sz w:val="28"/>
                <w:szCs w:val="28"/>
                <w:lang w:eastAsia="zh-CN"/>
                <w14:textFill>
                  <w14:solidFill>
                    <w14:schemeClr w14:val="tx1"/>
                  </w14:solidFill>
                </w14:textFill>
              </w:rPr>
              <w:t>提供</w:t>
            </w:r>
            <w:r>
              <w:rPr>
                <w:rFonts w:hint="eastAsia" w:ascii="仿宋" w:hAnsi="仿宋" w:eastAsia="仿宋" w:cs="仿宋"/>
                <w:color w:val="000000" w:themeColor="text1"/>
                <w:kern w:val="0"/>
                <w:sz w:val="28"/>
                <w:szCs w:val="28"/>
                <w:lang w:val="en-US" w:eastAsia="zh-CN"/>
                <w14:textFill>
                  <w14:solidFill>
                    <w14:schemeClr w14:val="tx1"/>
                  </w14:solidFill>
                </w14:textFill>
              </w:rPr>
              <w:t>4只</w:t>
            </w:r>
            <w:r>
              <w:rPr>
                <w:rFonts w:hint="eastAsia" w:ascii="仿宋" w:hAnsi="仿宋" w:eastAsia="仿宋" w:cs="仿宋"/>
                <w:color w:val="000000" w:themeColor="text1"/>
                <w:kern w:val="0"/>
                <w:sz w:val="28"/>
                <w:szCs w:val="28"/>
                <w14:textFill>
                  <w14:solidFill>
                    <w14:schemeClr w14:val="tx1"/>
                  </w14:solidFill>
                </w14:textFill>
              </w:rPr>
              <w:t>满足与学校现有能耗平台</w:t>
            </w:r>
            <w:r>
              <w:rPr>
                <w:rFonts w:hint="eastAsia" w:ascii="仿宋" w:hAnsi="仿宋" w:eastAsia="仿宋" w:cs="仿宋"/>
                <w:color w:val="000000" w:themeColor="text1"/>
                <w:kern w:val="0"/>
                <w:sz w:val="28"/>
                <w:szCs w:val="28"/>
                <w:lang w:eastAsia="zh-CN"/>
                <w14:textFill>
                  <w14:solidFill>
                    <w14:schemeClr w14:val="tx1"/>
                  </w14:solidFill>
                </w14:textFill>
              </w:rPr>
              <w:t>匹配</w:t>
            </w:r>
            <w:r>
              <w:rPr>
                <w:rFonts w:hint="eastAsia" w:ascii="仿宋" w:hAnsi="仿宋" w:eastAsia="仿宋" w:cs="仿宋"/>
                <w:color w:val="000000" w:themeColor="text1"/>
                <w:kern w:val="0"/>
                <w:sz w:val="28"/>
                <w:szCs w:val="28"/>
                <w:lang w:val="en-US" w:eastAsia="zh-CN"/>
                <w14:textFill>
                  <w14:solidFill>
                    <w14:schemeClr w14:val="tx1"/>
                  </w14:solidFill>
                </w14:textFill>
              </w:rPr>
              <w:t>多功能电力仪表</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8、出线回路电流互感器：BH-0.66 **/5A 0.2S级 变比与出线开关匹配</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9、主母线规格：TMY-4×80mm×8mm+1×50mm×5</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10、柜体（宽*深*高）：800</w:t>
            </w:r>
            <w:r>
              <w:rPr>
                <w:rFonts w:hint="eastAsia" w:ascii="仿宋" w:hAnsi="仿宋" w:eastAsia="仿宋" w:cs="仿宋"/>
                <w:color w:val="000000" w:themeColor="text1"/>
                <w:kern w:val="0"/>
                <w:sz w:val="28"/>
                <w:szCs w:val="28"/>
                <w:lang w:val="en-US" w:eastAsia="zh-CN"/>
                <w14:textFill>
                  <w14:solidFill>
                    <w14:schemeClr w14:val="tx1"/>
                  </w14:solidFill>
                </w14:textFill>
              </w:rPr>
              <w:t>mm</w:t>
            </w:r>
            <w:r>
              <w:rPr>
                <w:rFonts w:hint="eastAsia" w:ascii="仿宋" w:hAnsi="仿宋" w:eastAsia="仿宋" w:cs="仿宋"/>
                <w:color w:val="000000" w:themeColor="text1"/>
                <w:kern w:val="0"/>
                <w:sz w:val="28"/>
                <w:szCs w:val="28"/>
                <w14:textFill>
                  <w14:solidFill>
                    <w14:schemeClr w14:val="tx1"/>
                  </w14:solidFill>
                </w14:textFill>
              </w:rPr>
              <w:t>*600</w:t>
            </w:r>
            <w:r>
              <w:rPr>
                <w:rFonts w:hint="eastAsia" w:ascii="仿宋" w:hAnsi="仿宋" w:eastAsia="仿宋" w:cs="仿宋"/>
                <w:color w:val="000000" w:themeColor="text1"/>
                <w:kern w:val="0"/>
                <w:sz w:val="28"/>
                <w:szCs w:val="28"/>
                <w:lang w:val="en-US" w:eastAsia="zh-CN"/>
                <w14:textFill>
                  <w14:solidFill>
                    <w14:schemeClr w14:val="tx1"/>
                  </w14:solidFill>
                </w14:textFill>
              </w:rPr>
              <w:t>mm</w:t>
            </w:r>
            <w:r>
              <w:rPr>
                <w:rFonts w:hint="eastAsia" w:ascii="仿宋" w:hAnsi="仿宋" w:eastAsia="仿宋" w:cs="仿宋"/>
                <w:color w:val="000000" w:themeColor="text1"/>
                <w:kern w:val="0"/>
                <w:sz w:val="28"/>
                <w:szCs w:val="28"/>
                <w14:textFill>
                  <w14:solidFill>
                    <w14:schemeClr w14:val="tx1"/>
                  </w14:solidFill>
                </w14:textFill>
              </w:rPr>
              <w:t>*1950</w:t>
            </w:r>
            <w:r>
              <w:rPr>
                <w:rFonts w:hint="eastAsia" w:ascii="仿宋" w:hAnsi="仿宋" w:eastAsia="仿宋" w:cs="仿宋"/>
                <w:color w:val="000000" w:themeColor="text1"/>
                <w:kern w:val="0"/>
                <w:sz w:val="28"/>
                <w:szCs w:val="28"/>
                <w:lang w:val="en-US" w:eastAsia="zh-CN"/>
                <w14:textFill>
                  <w14:solidFill>
                    <w14:schemeClr w14:val="tx1"/>
                  </w14:solidFill>
                </w14:textFill>
              </w:rPr>
              <w:t>mm（±50mm）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vMerge w:val="continue"/>
            <w:vAlign w:val="center"/>
          </w:tcPr>
          <w:p>
            <w:pPr>
              <w:widowControl/>
              <w:spacing w:line="276" w:lineRule="auto"/>
              <w:jc w:val="center"/>
              <w:rPr>
                <w:rFonts w:hint="eastAsia" w:ascii="仿宋" w:hAnsi="仿宋" w:eastAsia="仿宋" w:cs="仿宋"/>
                <w:color w:val="000000" w:themeColor="text1"/>
                <w:kern w:val="0"/>
                <w:sz w:val="28"/>
                <w:szCs w:val="28"/>
                <w14:textFill>
                  <w14:solidFill>
                    <w14:schemeClr w14:val="tx1"/>
                  </w14:solidFill>
                </w14:textFill>
              </w:rPr>
            </w:pPr>
          </w:p>
        </w:tc>
        <w:tc>
          <w:tcPr>
            <w:tcW w:w="696" w:type="dxa"/>
            <w:vAlign w:val="center"/>
          </w:tcPr>
          <w:p>
            <w:pPr>
              <w:widowControl/>
              <w:spacing w:line="276" w:lineRule="auto"/>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7</w:t>
            </w:r>
          </w:p>
        </w:tc>
        <w:tc>
          <w:tcPr>
            <w:tcW w:w="7654" w:type="dxa"/>
            <w:vAlign w:val="center"/>
          </w:tcPr>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主要技术要求：</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1、箱变为整体型箱壳，有足够的机械强度，在运输、安装中不发生变形。箱壳配有吊装装置，便于卸货、搬运和安装。</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2、箱体设有足够的通风口和隔热措施，确保在正常环境下运行时，所有电器设备的温升不超过其最高允许值。</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3、箱体的所有门向外开，开启角度＞90°，并设有定位装置。所有的门均具有密封措施，并装有把手、暗闩，箱门装有外挂锁孔。</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4、箱体顶盖的倾斜度≥3°，并装设防雨檐。</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5、外箱体内部元件及说明采用中文标识，箱体设置有醒目的安全标志。四周有“高压危险”的警示标志。</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6、箱壳有防尘，防晒、防雨、防锈、防盗、防小动物进入等措施或装置</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7、箱变高低压柜及低压出线、计量和补偿各个小室间必须完全独立分隔开；箱变内高低压带电体必须满足对地、相对相间的最小安全距离。</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8、壳材料应采用（彩钢板5cm厚，立柱采用冷轧钢板是3mm厚）或非金属材料，非金属材料应具有极强的抗暴晒、抗辐射及隔热性；具有极好的防冻、抗裂、防腐蚀特性；应具有极好的防潮阻燃性能，在骤冷骤热环境温度的变化下不会产生凝露；应具有全天候使用性能，可和周围环境协调，美观大方；应具有一定冲击强度。箱体金属框架均应有良好的接地，有接地端子，并标明接地符号，根据校园环境和要求，定点定位摆放，满足正常使用。</w:t>
            </w:r>
          </w:p>
        </w:tc>
      </w:tr>
    </w:tbl>
    <w:p>
      <w:pPr>
        <w:rPr>
          <w:rFonts w:hint="eastAsia" w:ascii="仿宋" w:hAnsi="仿宋" w:eastAsia="仿宋" w:cs="仿宋"/>
          <w:sz w:val="28"/>
          <w:szCs w:val="28"/>
        </w:rPr>
      </w:pPr>
    </w:p>
    <w:p>
      <w:pPr>
        <w:rPr>
          <w:rFonts w:hint="eastAsia" w:ascii="仿宋" w:hAnsi="仿宋" w:eastAsia="仿宋" w:cs="仿宋"/>
          <w:sz w:val="28"/>
          <w:szCs w:val="28"/>
        </w:rPr>
      </w:pPr>
    </w:p>
    <w:p>
      <w:pPr>
        <w:widowControl/>
        <w:jc w:val="left"/>
        <w:rPr>
          <w:rFonts w:hint="eastAsia" w:ascii="仿宋" w:hAnsi="仿宋" w:eastAsia="仿宋" w:cs="仿宋"/>
          <w:sz w:val="28"/>
          <w:szCs w:val="28"/>
        </w:rPr>
      </w:pPr>
      <w:r>
        <w:rPr>
          <w:rFonts w:hint="eastAsia" w:ascii="仿宋" w:hAnsi="仿宋" w:eastAsia="仿宋" w:cs="仿宋"/>
          <w:sz w:val="28"/>
          <w:szCs w:val="28"/>
        </w:rPr>
        <w:br w:type="page"/>
      </w:r>
    </w:p>
    <w:bookmarkEnd w:id="8"/>
    <w:p>
      <w:pPr>
        <w:jc w:val="left"/>
        <w:rPr>
          <w:rFonts w:hint="eastAsia" w:ascii="仿宋" w:hAnsi="仿宋" w:eastAsia="仿宋" w:cs="仿宋"/>
          <w:sz w:val="28"/>
          <w:szCs w:val="28"/>
          <w:lang w:eastAsia="zh-CN"/>
        </w:rPr>
      </w:pPr>
      <w:r>
        <w:rPr>
          <w:rFonts w:hint="eastAsia" w:ascii="仿宋" w:hAnsi="仿宋" w:eastAsia="仿宋" w:cs="仿宋"/>
          <w:sz w:val="28"/>
          <w:szCs w:val="28"/>
        </w:rPr>
        <w:t>1.2 锦地苑生活3#</w:t>
      </w:r>
      <w:r>
        <w:rPr>
          <w:rFonts w:hint="eastAsia" w:ascii="仿宋" w:hAnsi="仿宋" w:eastAsia="仿宋" w:cs="仿宋"/>
          <w:sz w:val="28"/>
          <w:szCs w:val="28"/>
          <w:lang w:eastAsia="zh-CN"/>
        </w:rPr>
        <w:t>箱式变电站</w:t>
      </w:r>
    </w:p>
    <w:tbl>
      <w:tblPr>
        <w:tblStyle w:val="10"/>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851"/>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widowControl/>
              <w:spacing w:line="276"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参数性质</w:t>
            </w:r>
          </w:p>
        </w:tc>
        <w:tc>
          <w:tcPr>
            <w:tcW w:w="851" w:type="dxa"/>
            <w:vAlign w:val="center"/>
          </w:tcPr>
          <w:p>
            <w:pPr>
              <w:widowControl/>
              <w:spacing w:line="276"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序号</w:t>
            </w:r>
          </w:p>
        </w:tc>
        <w:tc>
          <w:tcPr>
            <w:tcW w:w="7654" w:type="dxa"/>
            <w:vAlign w:val="center"/>
          </w:tcPr>
          <w:p>
            <w:pPr>
              <w:widowControl/>
              <w:spacing w:line="276"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技术参数与性能指标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vAlign w:val="center"/>
          </w:tcPr>
          <w:p>
            <w:pPr>
              <w:widowControl/>
              <w:spacing w:line="276" w:lineRule="auto"/>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sz w:val="28"/>
                <w:szCs w:val="28"/>
                <w:lang w:val="en-US" w:eastAsia="zh-CN"/>
              </w:rPr>
              <w:t>630KVA箱式变电站</w:t>
            </w:r>
          </w:p>
        </w:tc>
        <w:tc>
          <w:tcPr>
            <w:tcW w:w="851" w:type="dxa"/>
            <w:vAlign w:val="center"/>
          </w:tcPr>
          <w:p>
            <w:pPr>
              <w:widowControl/>
              <w:spacing w:line="276" w:lineRule="auto"/>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w:t>
            </w:r>
          </w:p>
        </w:tc>
        <w:tc>
          <w:tcPr>
            <w:tcW w:w="7654" w:type="dxa"/>
            <w:vAlign w:val="center"/>
          </w:tcPr>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高压环网柜:HXGN-12  3AH01</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主要配置及参数：</w:t>
            </w:r>
          </w:p>
          <w:p>
            <w:pPr>
              <w:widowControl/>
              <w:numPr>
                <w:ilvl w:val="0"/>
                <w:numId w:val="0"/>
              </w:numPr>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w:t>
            </w:r>
            <w:r>
              <w:rPr>
                <w:rFonts w:hint="eastAsia" w:ascii="仿宋" w:hAnsi="仿宋" w:eastAsia="仿宋" w:cs="仿宋"/>
                <w:color w:val="000000" w:themeColor="text1"/>
                <w:kern w:val="0"/>
                <w:sz w:val="28"/>
                <w:szCs w:val="28"/>
                <w14:textFill>
                  <w14:solidFill>
                    <w14:schemeClr w14:val="tx1"/>
                  </w14:solidFill>
                </w14:textFill>
              </w:rPr>
              <w:t>隔离开关：GN30-12/630A 含机械闭锁</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2、固定式真空断路器：VS1-12/630-31.5KA</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3、电流互感器：LZZBJ9-10 75/5A 0.5/10P20</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4、微机保护装置：瞬时电流速断、带时限电流速断、反时限过负荷、单相接地故障、开门跳闸，测量功能、监测功能、控制功能等</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5、其他配置：带电显示装置DXN-Q(带电磁锁)温湿度控制器(含上下仓加热器)、UPS电源：1000VA</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6、避雷器：HY5WZ-17/45</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7、主母线规格：TMY-3*（50mm×5mm）</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8、柜体（宽*深*高）：900</w:t>
            </w:r>
            <w:r>
              <w:rPr>
                <w:rFonts w:hint="eastAsia" w:ascii="仿宋" w:hAnsi="仿宋" w:eastAsia="仿宋" w:cs="仿宋"/>
                <w:color w:val="000000" w:themeColor="text1"/>
                <w:kern w:val="0"/>
                <w:sz w:val="28"/>
                <w:szCs w:val="28"/>
                <w:lang w:val="en-US" w:eastAsia="zh-CN"/>
                <w14:textFill>
                  <w14:solidFill>
                    <w14:schemeClr w14:val="tx1"/>
                  </w14:solidFill>
                </w14:textFill>
              </w:rPr>
              <w:t>mm</w:t>
            </w:r>
            <w:r>
              <w:rPr>
                <w:rFonts w:hint="eastAsia" w:ascii="仿宋" w:hAnsi="仿宋" w:eastAsia="仿宋" w:cs="仿宋"/>
                <w:color w:val="000000" w:themeColor="text1"/>
                <w:kern w:val="0"/>
                <w:sz w:val="28"/>
                <w:szCs w:val="28"/>
                <w14:textFill>
                  <w14:solidFill>
                    <w14:schemeClr w14:val="tx1"/>
                  </w14:solidFill>
                </w14:textFill>
              </w:rPr>
              <w:t>*1000</w:t>
            </w:r>
            <w:r>
              <w:rPr>
                <w:rFonts w:hint="eastAsia" w:ascii="仿宋" w:hAnsi="仿宋" w:eastAsia="仿宋" w:cs="仿宋"/>
                <w:color w:val="000000" w:themeColor="text1"/>
                <w:kern w:val="0"/>
                <w:sz w:val="28"/>
                <w:szCs w:val="28"/>
                <w:lang w:val="en-US" w:eastAsia="zh-CN"/>
                <w14:textFill>
                  <w14:solidFill>
                    <w14:schemeClr w14:val="tx1"/>
                  </w14:solidFill>
                </w14:textFill>
              </w:rPr>
              <w:t>mm</w:t>
            </w:r>
            <w:r>
              <w:rPr>
                <w:rFonts w:hint="eastAsia" w:ascii="仿宋" w:hAnsi="仿宋" w:eastAsia="仿宋" w:cs="仿宋"/>
                <w:color w:val="000000" w:themeColor="text1"/>
                <w:kern w:val="0"/>
                <w:sz w:val="28"/>
                <w:szCs w:val="28"/>
                <w14:textFill>
                  <w14:solidFill>
                    <w14:schemeClr w14:val="tx1"/>
                  </w14:solidFill>
                </w14:textFill>
              </w:rPr>
              <w:t>*1950</w:t>
            </w:r>
            <w:r>
              <w:rPr>
                <w:rFonts w:hint="eastAsia" w:ascii="仿宋" w:hAnsi="仿宋" w:eastAsia="仿宋" w:cs="仿宋"/>
                <w:color w:val="000000" w:themeColor="text1"/>
                <w:kern w:val="0"/>
                <w:sz w:val="28"/>
                <w:szCs w:val="28"/>
                <w:lang w:val="en-US" w:eastAsia="zh-CN"/>
                <w14:textFill>
                  <w14:solidFill>
                    <w14:schemeClr w14:val="tx1"/>
                  </w14:solidFill>
                </w14:textFill>
              </w:rPr>
              <w:t>mm（±50mm）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pPr>
              <w:widowControl/>
              <w:spacing w:line="276" w:lineRule="auto"/>
              <w:jc w:val="center"/>
              <w:rPr>
                <w:rFonts w:hint="eastAsia" w:ascii="仿宋" w:hAnsi="仿宋" w:eastAsia="仿宋" w:cs="仿宋"/>
                <w:color w:val="000000" w:themeColor="text1"/>
                <w:kern w:val="0"/>
                <w:sz w:val="28"/>
                <w:szCs w:val="28"/>
                <w14:textFill>
                  <w14:solidFill>
                    <w14:schemeClr w14:val="tx1"/>
                  </w14:solidFill>
                </w14:textFill>
              </w:rPr>
            </w:pPr>
          </w:p>
        </w:tc>
        <w:tc>
          <w:tcPr>
            <w:tcW w:w="851" w:type="dxa"/>
            <w:vAlign w:val="center"/>
          </w:tcPr>
          <w:p>
            <w:pPr>
              <w:widowControl/>
              <w:spacing w:line="276" w:lineRule="auto"/>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w:t>
            </w:r>
          </w:p>
        </w:tc>
        <w:tc>
          <w:tcPr>
            <w:tcW w:w="7654" w:type="dxa"/>
            <w:vAlign w:val="center"/>
          </w:tcPr>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1、</w:t>
            </w:r>
            <w:r>
              <w:rPr>
                <w:rFonts w:hint="eastAsia" w:ascii="仿宋" w:hAnsi="仿宋" w:eastAsia="仿宋" w:cs="仿宋"/>
                <w:color w:val="000000" w:themeColor="text1"/>
                <w:kern w:val="0"/>
                <w:sz w:val="28"/>
                <w:szCs w:val="28"/>
                <w14:textFill>
                  <w14:solidFill>
                    <w14:schemeClr w14:val="tx1"/>
                  </w14:solidFill>
                </w14:textFill>
              </w:rPr>
              <w:t>干式变压器（铜芯）规格：SCB14-630kVA-10/0.4kV</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2、</w:t>
            </w:r>
            <w:r>
              <w:rPr>
                <w:rFonts w:hint="eastAsia" w:ascii="仿宋" w:hAnsi="仿宋" w:eastAsia="仿宋" w:cs="仿宋"/>
                <w:color w:val="000000" w:themeColor="text1"/>
                <w:kern w:val="0"/>
                <w:sz w:val="28"/>
                <w:szCs w:val="28"/>
                <w14:textFill>
                  <w14:solidFill>
                    <w14:schemeClr w14:val="tx1"/>
                  </w14:solidFill>
                </w14:textFill>
              </w:rPr>
              <w:t>连接方式：D yn11；</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color w:val="000000" w:themeColor="text1"/>
                <w:kern w:val="0"/>
                <w:sz w:val="28"/>
                <w:szCs w:val="28"/>
                <w14:textFill>
                  <w14:solidFill>
                    <w14:schemeClr w14:val="tx1"/>
                  </w14:solidFill>
                </w14:textFill>
              </w:rPr>
              <w:t>空载损耗和负载损耗符合GB 20052-2020表2中2级能效标准；</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4、</w:t>
            </w:r>
            <w:r>
              <w:rPr>
                <w:rFonts w:hint="eastAsia" w:ascii="仿宋" w:hAnsi="仿宋" w:eastAsia="仿宋" w:cs="仿宋"/>
                <w:color w:val="000000" w:themeColor="text1"/>
                <w:kern w:val="0"/>
                <w:sz w:val="28"/>
                <w:szCs w:val="28"/>
                <w14:textFill>
                  <w14:solidFill>
                    <w14:schemeClr w14:val="tx1"/>
                  </w14:solidFill>
                </w14:textFill>
              </w:rPr>
              <w:t>行程开关、温度控制器、轴流风机、检修灯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pPr>
              <w:widowControl/>
              <w:spacing w:line="276" w:lineRule="auto"/>
              <w:jc w:val="center"/>
              <w:rPr>
                <w:rFonts w:hint="eastAsia" w:ascii="仿宋" w:hAnsi="仿宋" w:eastAsia="仿宋" w:cs="仿宋"/>
                <w:color w:val="000000" w:themeColor="text1"/>
                <w:kern w:val="0"/>
                <w:sz w:val="28"/>
                <w:szCs w:val="28"/>
                <w14:textFill>
                  <w14:solidFill>
                    <w14:schemeClr w14:val="tx1"/>
                  </w14:solidFill>
                </w14:textFill>
              </w:rPr>
            </w:pPr>
          </w:p>
        </w:tc>
        <w:tc>
          <w:tcPr>
            <w:tcW w:w="851" w:type="dxa"/>
            <w:vAlign w:val="center"/>
          </w:tcPr>
          <w:p>
            <w:pPr>
              <w:widowControl/>
              <w:spacing w:line="276" w:lineRule="auto"/>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w:t>
            </w:r>
          </w:p>
        </w:tc>
        <w:tc>
          <w:tcPr>
            <w:tcW w:w="7654" w:type="dxa"/>
            <w:vAlign w:val="center"/>
          </w:tcPr>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低压进线开关柜：GGD 3AL01</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主要配置及参数：</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1、抽屉式框架断路器：MCB-2000/3 1250抽屉式 三段保护 控制电压:AC220V</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2、测量电流互感器：BH-0.66 1200/5 0.5级</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3、液晶多功能电力仪表：校方提供</w:t>
            </w:r>
            <w:r>
              <w:rPr>
                <w:rFonts w:hint="eastAsia" w:ascii="仿宋" w:hAnsi="仿宋" w:eastAsia="仿宋" w:cs="仿宋"/>
                <w:color w:val="000000" w:themeColor="text1"/>
                <w:kern w:val="0"/>
                <w:sz w:val="28"/>
                <w:szCs w:val="28"/>
                <w:lang w:val="en-US" w:eastAsia="zh-CN"/>
                <w14:textFill>
                  <w14:solidFill>
                    <w14:schemeClr w14:val="tx1"/>
                  </w14:solidFill>
                </w14:textFill>
              </w:rPr>
              <w:t>1只</w:t>
            </w:r>
            <w:r>
              <w:rPr>
                <w:rFonts w:hint="eastAsia" w:ascii="仿宋" w:hAnsi="仿宋" w:eastAsia="仿宋" w:cs="仿宋"/>
                <w:color w:val="000000" w:themeColor="text1"/>
                <w:kern w:val="0"/>
                <w:sz w:val="28"/>
                <w:szCs w:val="28"/>
                <w14:textFill>
                  <w14:solidFill>
                    <w14:schemeClr w14:val="tx1"/>
                  </w14:solidFill>
                </w14:textFill>
              </w:rPr>
              <w:t>满足与学校现有能耗平台</w:t>
            </w:r>
            <w:r>
              <w:rPr>
                <w:rFonts w:hint="eastAsia" w:ascii="仿宋" w:hAnsi="仿宋" w:eastAsia="仿宋" w:cs="仿宋"/>
                <w:color w:val="000000" w:themeColor="text1"/>
                <w:kern w:val="0"/>
                <w:sz w:val="28"/>
                <w:szCs w:val="28"/>
                <w:lang w:eastAsia="zh-CN"/>
                <w14:textFill>
                  <w14:solidFill>
                    <w14:schemeClr w14:val="tx1"/>
                  </w14:solidFill>
                </w14:textFill>
              </w:rPr>
              <w:t>匹配</w:t>
            </w:r>
            <w:r>
              <w:rPr>
                <w:rFonts w:hint="eastAsia" w:ascii="仿宋" w:hAnsi="仿宋" w:eastAsia="仿宋" w:cs="仿宋"/>
                <w:color w:val="000000" w:themeColor="text1"/>
                <w:kern w:val="0"/>
                <w:sz w:val="28"/>
                <w:szCs w:val="28"/>
                <w14:textFill>
                  <w14:solidFill>
                    <w14:schemeClr w14:val="tx1"/>
                  </w14:solidFill>
                </w14:textFill>
              </w:rPr>
              <w:t>多功能电力仪表</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4、计量电流互感器：BH-0.66 1200/5 0.2S级</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5、配置计量电度表：3*220/380V 1.5(6)A</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6</w:t>
            </w:r>
            <w:r>
              <w:rPr>
                <w:rFonts w:hint="eastAsia" w:ascii="仿宋" w:hAnsi="仿宋" w:eastAsia="仿宋" w:cs="仿宋"/>
                <w:color w:val="000000" w:themeColor="text1"/>
                <w:kern w:val="0"/>
                <w:sz w:val="28"/>
                <w:szCs w:val="28"/>
                <w14:textFill>
                  <w14:solidFill>
                    <w14:schemeClr w14:val="tx1"/>
                  </w14:solidFill>
                </w14:textFill>
              </w:rPr>
              <w:t>、浪涌保护器：T1级保护</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7</w:t>
            </w:r>
            <w:r>
              <w:rPr>
                <w:rFonts w:hint="eastAsia" w:ascii="仿宋" w:hAnsi="仿宋" w:eastAsia="仿宋" w:cs="仿宋"/>
                <w:color w:val="000000" w:themeColor="text1"/>
                <w:kern w:val="0"/>
                <w:sz w:val="28"/>
                <w:szCs w:val="28"/>
                <w14:textFill>
                  <w14:solidFill>
                    <w14:schemeClr w14:val="tx1"/>
                  </w14:solidFill>
                </w14:textFill>
              </w:rPr>
              <w:t>、主母线规格：TMY-4×80mm×8mm+1×50mm×5</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8</w:t>
            </w:r>
            <w:r>
              <w:rPr>
                <w:rFonts w:hint="eastAsia" w:ascii="仿宋" w:hAnsi="仿宋" w:eastAsia="仿宋" w:cs="仿宋"/>
                <w:color w:val="000000" w:themeColor="text1"/>
                <w:kern w:val="0"/>
                <w:sz w:val="28"/>
                <w:szCs w:val="28"/>
                <w14:textFill>
                  <w14:solidFill>
                    <w14:schemeClr w14:val="tx1"/>
                  </w14:solidFill>
                </w14:textFill>
              </w:rPr>
              <w:t>、柜体（宽*深*高）：800</w:t>
            </w:r>
            <w:r>
              <w:rPr>
                <w:rFonts w:hint="eastAsia" w:ascii="仿宋" w:hAnsi="仿宋" w:eastAsia="仿宋" w:cs="仿宋"/>
                <w:color w:val="000000" w:themeColor="text1"/>
                <w:kern w:val="0"/>
                <w:sz w:val="28"/>
                <w:szCs w:val="28"/>
                <w:lang w:val="en-US" w:eastAsia="zh-CN"/>
                <w14:textFill>
                  <w14:solidFill>
                    <w14:schemeClr w14:val="tx1"/>
                  </w14:solidFill>
                </w14:textFill>
              </w:rPr>
              <w:t>mm</w:t>
            </w:r>
            <w:r>
              <w:rPr>
                <w:rFonts w:hint="eastAsia" w:ascii="仿宋" w:hAnsi="仿宋" w:eastAsia="仿宋" w:cs="仿宋"/>
                <w:color w:val="000000" w:themeColor="text1"/>
                <w:kern w:val="0"/>
                <w:sz w:val="28"/>
                <w:szCs w:val="28"/>
                <w14:textFill>
                  <w14:solidFill>
                    <w14:schemeClr w14:val="tx1"/>
                  </w14:solidFill>
                </w14:textFill>
              </w:rPr>
              <w:t>*600</w:t>
            </w:r>
            <w:r>
              <w:rPr>
                <w:rFonts w:hint="eastAsia" w:ascii="仿宋" w:hAnsi="仿宋" w:eastAsia="仿宋" w:cs="仿宋"/>
                <w:color w:val="000000" w:themeColor="text1"/>
                <w:kern w:val="0"/>
                <w:sz w:val="28"/>
                <w:szCs w:val="28"/>
                <w:lang w:val="en-US" w:eastAsia="zh-CN"/>
                <w14:textFill>
                  <w14:solidFill>
                    <w14:schemeClr w14:val="tx1"/>
                  </w14:solidFill>
                </w14:textFill>
              </w:rPr>
              <w:t>mm</w:t>
            </w:r>
            <w:r>
              <w:rPr>
                <w:rFonts w:hint="eastAsia" w:ascii="仿宋" w:hAnsi="仿宋" w:eastAsia="仿宋" w:cs="仿宋"/>
                <w:color w:val="000000" w:themeColor="text1"/>
                <w:kern w:val="0"/>
                <w:sz w:val="28"/>
                <w:szCs w:val="28"/>
                <w14:textFill>
                  <w14:solidFill>
                    <w14:schemeClr w14:val="tx1"/>
                  </w14:solidFill>
                </w14:textFill>
              </w:rPr>
              <w:t>*1950</w:t>
            </w:r>
            <w:r>
              <w:rPr>
                <w:rFonts w:hint="eastAsia" w:ascii="仿宋" w:hAnsi="仿宋" w:eastAsia="仿宋" w:cs="仿宋"/>
                <w:color w:val="000000" w:themeColor="text1"/>
                <w:kern w:val="0"/>
                <w:sz w:val="28"/>
                <w:szCs w:val="28"/>
                <w:lang w:val="en-US" w:eastAsia="zh-CN"/>
                <w14:textFill>
                  <w14:solidFill>
                    <w14:schemeClr w14:val="tx1"/>
                  </w14:solidFill>
                </w14:textFill>
              </w:rPr>
              <w:t>mm（±50mm）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pPr>
              <w:widowControl/>
              <w:spacing w:line="276" w:lineRule="auto"/>
              <w:jc w:val="center"/>
              <w:rPr>
                <w:rFonts w:hint="eastAsia" w:ascii="仿宋" w:hAnsi="仿宋" w:eastAsia="仿宋" w:cs="仿宋"/>
                <w:color w:val="000000" w:themeColor="text1"/>
                <w:kern w:val="0"/>
                <w:sz w:val="28"/>
                <w:szCs w:val="28"/>
                <w14:textFill>
                  <w14:solidFill>
                    <w14:schemeClr w14:val="tx1"/>
                  </w14:solidFill>
                </w14:textFill>
              </w:rPr>
            </w:pPr>
          </w:p>
        </w:tc>
        <w:tc>
          <w:tcPr>
            <w:tcW w:w="851" w:type="dxa"/>
            <w:vAlign w:val="center"/>
          </w:tcPr>
          <w:p>
            <w:pPr>
              <w:widowControl/>
              <w:spacing w:line="276" w:lineRule="auto"/>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w:t>
            </w:r>
          </w:p>
        </w:tc>
        <w:tc>
          <w:tcPr>
            <w:tcW w:w="7654" w:type="dxa"/>
            <w:vAlign w:val="center"/>
          </w:tcPr>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无功补偿柜：GGJ  3AL02 240kvar</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主要配置及参数：</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xml:space="preserve">1、刀熔开关：HR3BX-600/32 600A </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xml:space="preserve">2、电流互感器：BH-0.66 500/5A </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3、低压熔断器：RT36-63A/3</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4、交流接触器：CJ19-63/21</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5、电容器：BSMJ0.45-30-3</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6、无功补偿控制器</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7、液晶多功能电力仪表：具备电流、电压、电度、有功、无功、功率因数、MODBUS485接口等功能</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8、主母线规格：TMY-4×80mm×8mm+1×50mm×5</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9、氧化锌避雷器：HY1.5WR-0.28/1.3</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10、柜体（宽*深*高）：800</w:t>
            </w:r>
            <w:r>
              <w:rPr>
                <w:rFonts w:hint="eastAsia" w:ascii="仿宋" w:hAnsi="仿宋" w:eastAsia="仿宋" w:cs="仿宋"/>
                <w:color w:val="000000" w:themeColor="text1"/>
                <w:kern w:val="0"/>
                <w:sz w:val="28"/>
                <w:szCs w:val="28"/>
                <w:lang w:val="en-US" w:eastAsia="zh-CN"/>
                <w14:textFill>
                  <w14:solidFill>
                    <w14:schemeClr w14:val="tx1"/>
                  </w14:solidFill>
                </w14:textFill>
              </w:rPr>
              <w:t>mm</w:t>
            </w:r>
            <w:r>
              <w:rPr>
                <w:rFonts w:hint="eastAsia" w:ascii="仿宋" w:hAnsi="仿宋" w:eastAsia="仿宋" w:cs="仿宋"/>
                <w:color w:val="000000" w:themeColor="text1"/>
                <w:kern w:val="0"/>
                <w:sz w:val="28"/>
                <w:szCs w:val="28"/>
                <w14:textFill>
                  <w14:solidFill>
                    <w14:schemeClr w14:val="tx1"/>
                  </w14:solidFill>
                </w14:textFill>
              </w:rPr>
              <w:t>*600</w:t>
            </w:r>
            <w:r>
              <w:rPr>
                <w:rFonts w:hint="eastAsia" w:ascii="仿宋" w:hAnsi="仿宋" w:eastAsia="仿宋" w:cs="仿宋"/>
                <w:color w:val="000000" w:themeColor="text1"/>
                <w:kern w:val="0"/>
                <w:sz w:val="28"/>
                <w:szCs w:val="28"/>
                <w:lang w:val="en-US" w:eastAsia="zh-CN"/>
                <w14:textFill>
                  <w14:solidFill>
                    <w14:schemeClr w14:val="tx1"/>
                  </w14:solidFill>
                </w14:textFill>
              </w:rPr>
              <w:t>mm</w:t>
            </w:r>
            <w:r>
              <w:rPr>
                <w:rFonts w:hint="eastAsia" w:ascii="仿宋" w:hAnsi="仿宋" w:eastAsia="仿宋" w:cs="仿宋"/>
                <w:color w:val="000000" w:themeColor="text1"/>
                <w:kern w:val="0"/>
                <w:sz w:val="28"/>
                <w:szCs w:val="28"/>
                <w14:textFill>
                  <w14:solidFill>
                    <w14:schemeClr w14:val="tx1"/>
                  </w14:solidFill>
                </w14:textFill>
              </w:rPr>
              <w:t>*1950</w:t>
            </w:r>
            <w:r>
              <w:rPr>
                <w:rFonts w:hint="eastAsia" w:ascii="仿宋" w:hAnsi="仿宋" w:eastAsia="仿宋" w:cs="仿宋"/>
                <w:color w:val="000000" w:themeColor="text1"/>
                <w:kern w:val="0"/>
                <w:sz w:val="28"/>
                <w:szCs w:val="28"/>
                <w:lang w:val="en-US" w:eastAsia="zh-CN"/>
                <w14:textFill>
                  <w14:solidFill>
                    <w14:schemeClr w14:val="tx1"/>
                  </w14:solidFill>
                </w14:textFill>
              </w:rPr>
              <w:t>mm（±50mm）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pPr>
              <w:widowControl/>
              <w:spacing w:line="276" w:lineRule="auto"/>
              <w:jc w:val="center"/>
              <w:rPr>
                <w:rFonts w:hint="eastAsia" w:ascii="仿宋" w:hAnsi="仿宋" w:eastAsia="仿宋" w:cs="仿宋"/>
                <w:color w:val="000000" w:themeColor="text1"/>
                <w:kern w:val="0"/>
                <w:sz w:val="28"/>
                <w:szCs w:val="28"/>
                <w14:textFill>
                  <w14:solidFill>
                    <w14:schemeClr w14:val="tx1"/>
                  </w14:solidFill>
                </w14:textFill>
              </w:rPr>
            </w:pPr>
          </w:p>
        </w:tc>
        <w:tc>
          <w:tcPr>
            <w:tcW w:w="851" w:type="dxa"/>
            <w:vAlign w:val="center"/>
          </w:tcPr>
          <w:p>
            <w:pPr>
              <w:widowControl/>
              <w:spacing w:line="276" w:lineRule="auto"/>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w:t>
            </w:r>
          </w:p>
        </w:tc>
        <w:tc>
          <w:tcPr>
            <w:tcW w:w="7654" w:type="dxa"/>
            <w:vAlign w:val="center"/>
          </w:tcPr>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低压出线开关柜：GGD  3AL03</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主要配置及参数：</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1、刀开关：HD13BX-1500/31 1只</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2、塑壳断路器：MCCB-400S/3300 630A 2只</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3、塑壳断路器：MCCB-400S/3300 400A 2只</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4、塑壳断路器：MCCB-400S/3300 315A 2只</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5、电流互感器 ：BH-0.66 1200/5A 3只</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6、液晶多功能电力仪表：具备电流、电压、电度、MODBUS485接口等功能</w:t>
            </w:r>
          </w:p>
          <w:p>
            <w:pPr>
              <w:widowControl/>
              <w:spacing w:line="276" w:lineRule="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7、出线回路液晶多功能电力仪表：校方提供</w:t>
            </w:r>
            <w:r>
              <w:rPr>
                <w:rFonts w:hint="eastAsia" w:ascii="仿宋" w:hAnsi="仿宋" w:eastAsia="仿宋" w:cs="仿宋"/>
                <w:color w:val="000000" w:themeColor="text1"/>
                <w:kern w:val="0"/>
                <w:sz w:val="28"/>
                <w:szCs w:val="28"/>
                <w:lang w:val="en-US" w:eastAsia="zh-CN"/>
                <w14:textFill>
                  <w14:solidFill>
                    <w14:schemeClr w14:val="tx1"/>
                  </w14:solidFill>
                </w14:textFill>
              </w:rPr>
              <w:t>6只</w:t>
            </w:r>
            <w:r>
              <w:rPr>
                <w:rFonts w:hint="eastAsia" w:ascii="仿宋" w:hAnsi="仿宋" w:eastAsia="仿宋" w:cs="仿宋"/>
                <w:color w:val="000000" w:themeColor="text1"/>
                <w:kern w:val="0"/>
                <w:sz w:val="28"/>
                <w:szCs w:val="28"/>
                <w14:textFill>
                  <w14:solidFill>
                    <w14:schemeClr w14:val="tx1"/>
                  </w14:solidFill>
                </w14:textFill>
              </w:rPr>
              <w:t>满足与学校现有能耗平台</w:t>
            </w:r>
            <w:r>
              <w:rPr>
                <w:rFonts w:hint="eastAsia" w:ascii="仿宋" w:hAnsi="仿宋" w:eastAsia="仿宋" w:cs="仿宋"/>
                <w:color w:val="000000" w:themeColor="text1"/>
                <w:kern w:val="0"/>
                <w:sz w:val="28"/>
                <w:szCs w:val="28"/>
                <w:lang w:eastAsia="zh-CN"/>
                <w14:textFill>
                  <w14:solidFill>
                    <w14:schemeClr w14:val="tx1"/>
                  </w14:solidFill>
                </w14:textFill>
              </w:rPr>
              <w:t>匹配</w:t>
            </w:r>
            <w:r>
              <w:rPr>
                <w:rFonts w:hint="eastAsia" w:ascii="仿宋" w:hAnsi="仿宋" w:eastAsia="仿宋" w:cs="仿宋"/>
                <w:color w:val="000000" w:themeColor="text1"/>
                <w:kern w:val="0"/>
                <w:sz w:val="28"/>
                <w:szCs w:val="28"/>
                <w14:textFill>
                  <w14:solidFill>
                    <w14:schemeClr w14:val="tx1"/>
                  </w14:solidFill>
                </w14:textFill>
              </w:rPr>
              <w:t>多功能电力仪表</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8、出线回路电流互感器：BH-0.66 **/5A 0.2S级 变比与出线开关匹配</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9、主母线规格：TMY-4×80mm×8mm+1×50mm×5</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10、柜体（宽*深*高）：800</w:t>
            </w:r>
            <w:r>
              <w:rPr>
                <w:rFonts w:hint="eastAsia" w:ascii="仿宋" w:hAnsi="仿宋" w:eastAsia="仿宋" w:cs="仿宋"/>
                <w:color w:val="000000" w:themeColor="text1"/>
                <w:kern w:val="0"/>
                <w:sz w:val="28"/>
                <w:szCs w:val="28"/>
                <w:lang w:val="en-US" w:eastAsia="zh-CN"/>
                <w14:textFill>
                  <w14:solidFill>
                    <w14:schemeClr w14:val="tx1"/>
                  </w14:solidFill>
                </w14:textFill>
              </w:rPr>
              <w:t>mm</w:t>
            </w:r>
            <w:r>
              <w:rPr>
                <w:rFonts w:hint="eastAsia" w:ascii="仿宋" w:hAnsi="仿宋" w:eastAsia="仿宋" w:cs="仿宋"/>
                <w:color w:val="000000" w:themeColor="text1"/>
                <w:kern w:val="0"/>
                <w:sz w:val="28"/>
                <w:szCs w:val="28"/>
                <w14:textFill>
                  <w14:solidFill>
                    <w14:schemeClr w14:val="tx1"/>
                  </w14:solidFill>
                </w14:textFill>
              </w:rPr>
              <w:t>*600</w:t>
            </w:r>
            <w:r>
              <w:rPr>
                <w:rFonts w:hint="eastAsia" w:ascii="仿宋" w:hAnsi="仿宋" w:eastAsia="仿宋" w:cs="仿宋"/>
                <w:color w:val="000000" w:themeColor="text1"/>
                <w:kern w:val="0"/>
                <w:sz w:val="28"/>
                <w:szCs w:val="28"/>
                <w:lang w:val="en-US" w:eastAsia="zh-CN"/>
                <w14:textFill>
                  <w14:solidFill>
                    <w14:schemeClr w14:val="tx1"/>
                  </w14:solidFill>
                </w14:textFill>
              </w:rPr>
              <w:t>mm</w:t>
            </w:r>
            <w:r>
              <w:rPr>
                <w:rFonts w:hint="eastAsia" w:ascii="仿宋" w:hAnsi="仿宋" w:eastAsia="仿宋" w:cs="仿宋"/>
                <w:color w:val="000000" w:themeColor="text1"/>
                <w:kern w:val="0"/>
                <w:sz w:val="28"/>
                <w:szCs w:val="28"/>
                <w14:textFill>
                  <w14:solidFill>
                    <w14:schemeClr w14:val="tx1"/>
                  </w14:solidFill>
                </w14:textFill>
              </w:rPr>
              <w:t>*1950</w:t>
            </w:r>
            <w:r>
              <w:rPr>
                <w:rFonts w:hint="eastAsia" w:ascii="仿宋" w:hAnsi="仿宋" w:eastAsia="仿宋" w:cs="仿宋"/>
                <w:color w:val="000000" w:themeColor="text1"/>
                <w:kern w:val="0"/>
                <w:sz w:val="28"/>
                <w:szCs w:val="28"/>
                <w:lang w:val="en-US" w:eastAsia="zh-CN"/>
                <w14:textFill>
                  <w14:solidFill>
                    <w14:schemeClr w14:val="tx1"/>
                  </w14:solidFill>
                </w14:textFill>
              </w:rPr>
              <w:t>mm（±50mm）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pPr>
              <w:widowControl/>
              <w:spacing w:line="276" w:lineRule="auto"/>
              <w:jc w:val="center"/>
              <w:rPr>
                <w:rFonts w:hint="eastAsia" w:ascii="仿宋" w:hAnsi="仿宋" w:eastAsia="仿宋" w:cs="仿宋"/>
                <w:color w:val="000000" w:themeColor="text1"/>
                <w:kern w:val="0"/>
                <w:sz w:val="28"/>
                <w:szCs w:val="28"/>
                <w14:textFill>
                  <w14:solidFill>
                    <w14:schemeClr w14:val="tx1"/>
                  </w14:solidFill>
                </w14:textFill>
              </w:rPr>
            </w:pPr>
          </w:p>
        </w:tc>
        <w:tc>
          <w:tcPr>
            <w:tcW w:w="851" w:type="dxa"/>
            <w:shd w:val="clear" w:color="auto" w:fill="auto"/>
            <w:vAlign w:val="center"/>
          </w:tcPr>
          <w:p>
            <w:pPr>
              <w:widowControl/>
              <w:spacing w:line="276" w:lineRule="auto"/>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w:t>
            </w:r>
          </w:p>
        </w:tc>
        <w:tc>
          <w:tcPr>
            <w:tcW w:w="7654" w:type="dxa"/>
            <w:shd w:val="clear" w:color="auto" w:fill="auto"/>
            <w:vAlign w:val="center"/>
          </w:tcPr>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低压出线开关柜：GGD  3AL04</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主要配置及参数：</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1、刀开关：HD13BX-1500/31 1只</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2、塑壳断路器：MCCB-400S/3300 630A 2只</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3、塑壳断路器：MCCB-400S/3300 400A 2只</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4、塑壳断路器：MCCB-400S/3300 250A 2只</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5、电流互感器 ：BH-0.66 1200/5A 3只</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6、液晶多功能电力仪表：具备电流、电压、电度、MODBUS485接口等功能</w:t>
            </w:r>
          </w:p>
          <w:p>
            <w:pPr>
              <w:widowControl/>
              <w:spacing w:line="276" w:lineRule="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7、出线回路液晶多功能电力仪表：校方提供</w:t>
            </w:r>
            <w:r>
              <w:rPr>
                <w:rFonts w:hint="eastAsia" w:ascii="仿宋" w:hAnsi="仿宋" w:eastAsia="仿宋" w:cs="仿宋"/>
                <w:color w:val="000000" w:themeColor="text1"/>
                <w:kern w:val="0"/>
                <w:sz w:val="28"/>
                <w:szCs w:val="28"/>
                <w:lang w:val="en-US" w:eastAsia="zh-CN"/>
                <w14:textFill>
                  <w14:solidFill>
                    <w14:schemeClr w14:val="tx1"/>
                  </w14:solidFill>
                </w14:textFill>
              </w:rPr>
              <w:t>2只</w:t>
            </w:r>
            <w:r>
              <w:rPr>
                <w:rFonts w:hint="eastAsia" w:ascii="仿宋" w:hAnsi="仿宋" w:eastAsia="仿宋" w:cs="仿宋"/>
                <w:color w:val="000000" w:themeColor="text1"/>
                <w:kern w:val="0"/>
                <w:sz w:val="28"/>
                <w:szCs w:val="28"/>
                <w14:textFill>
                  <w14:solidFill>
                    <w14:schemeClr w14:val="tx1"/>
                  </w14:solidFill>
                </w14:textFill>
              </w:rPr>
              <w:t>满足与学校现有能耗平台</w:t>
            </w:r>
            <w:r>
              <w:rPr>
                <w:rFonts w:hint="eastAsia" w:ascii="仿宋" w:hAnsi="仿宋" w:eastAsia="仿宋" w:cs="仿宋"/>
                <w:color w:val="000000" w:themeColor="text1"/>
                <w:kern w:val="0"/>
                <w:sz w:val="28"/>
                <w:szCs w:val="28"/>
                <w:lang w:val="en-US" w:eastAsia="zh-CN"/>
                <w14:textFill>
                  <w14:solidFill>
                    <w14:schemeClr w14:val="tx1"/>
                  </w14:solidFill>
                </w14:textFill>
              </w:rPr>
              <w:t>多功能电力仪表</w:t>
            </w:r>
            <w:r>
              <w:rPr>
                <w:rFonts w:hint="eastAsia" w:ascii="仿宋" w:hAnsi="仿宋" w:eastAsia="仿宋" w:cs="仿宋"/>
                <w:color w:val="000000" w:themeColor="text1"/>
                <w:kern w:val="0"/>
                <w:sz w:val="28"/>
                <w:szCs w:val="28"/>
                <w14:textFill>
                  <w14:solidFill>
                    <w14:schemeClr w14:val="tx1"/>
                  </w14:solidFill>
                </w14:textFill>
              </w:rPr>
              <w:t>，供应商</w:t>
            </w:r>
            <w:r>
              <w:rPr>
                <w:rFonts w:hint="eastAsia" w:ascii="仿宋" w:hAnsi="仿宋" w:eastAsia="仿宋" w:cs="仿宋"/>
                <w:color w:val="000000" w:themeColor="text1"/>
                <w:kern w:val="0"/>
                <w:sz w:val="28"/>
                <w:szCs w:val="28"/>
                <w:lang w:eastAsia="zh-CN"/>
                <w14:textFill>
                  <w14:solidFill>
                    <w14:schemeClr w14:val="tx1"/>
                  </w14:solidFill>
                </w14:textFill>
              </w:rPr>
              <w:t>提供</w:t>
            </w:r>
            <w:r>
              <w:rPr>
                <w:rFonts w:hint="eastAsia" w:ascii="仿宋" w:hAnsi="仿宋" w:eastAsia="仿宋" w:cs="仿宋"/>
                <w:color w:val="000000" w:themeColor="text1"/>
                <w:kern w:val="0"/>
                <w:sz w:val="28"/>
                <w:szCs w:val="28"/>
                <w:lang w:val="en-US" w:eastAsia="zh-CN"/>
                <w14:textFill>
                  <w14:solidFill>
                    <w14:schemeClr w14:val="tx1"/>
                  </w14:solidFill>
                </w14:textFill>
              </w:rPr>
              <w:t>4只</w:t>
            </w:r>
            <w:r>
              <w:rPr>
                <w:rFonts w:hint="eastAsia" w:ascii="仿宋" w:hAnsi="仿宋" w:eastAsia="仿宋" w:cs="仿宋"/>
                <w:color w:val="000000" w:themeColor="text1"/>
                <w:kern w:val="0"/>
                <w:sz w:val="28"/>
                <w:szCs w:val="28"/>
                <w14:textFill>
                  <w14:solidFill>
                    <w14:schemeClr w14:val="tx1"/>
                  </w14:solidFill>
                </w14:textFill>
              </w:rPr>
              <w:t>满足与学校现有能耗平台</w:t>
            </w:r>
            <w:r>
              <w:rPr>
                <w:rFonts w:hint="eastAsia" w:ascii="仿宋" w:hAnsi="仿宋" w:eastAsia="仿宋" w:cs="仿宋"/>
                <w:color w:val="000000" w:themeColor="text1"/>
                <w:kern w:val="0"/>
                <w:sz w:val="28"/>
                <w:szCs w:val="28"/>
                <w:lang w:eastAsia="zh-CN"/>
                <w14:textFill>
                  <w14:solidFill>
                    <w14:schemeClr w14:val="tx1"/>
                  </w14:solidFill>
                </w14:textFill>
              </w:rPr>
              <w:t>匹配</w:t>
            </w:r>
            <w:r>
              <w:rPr>
                <w:rFonts w:hint="eastAsia" w:ascii="仿宋" w:hAnsi="仿宋" w:eastAsia="仿宋" w:cs="仿宋"/>
                <w:color w:val="000000" w:themeColor="text1"/>
                <w:kern w:val="0"/>
                <w:sz w:val="28"/>
                <w:szCs w:val="28"/>
                <w:lang w:val="en-US" w:eastAsia="zh-CN"/>
                <w14:textFill>
                  <w14:solidFill>
                    <w14:schemeClr w14:val="tx1"/>
                  </w14:solidFill>
                </w14:textFill>
              </w:rPr>
              <w:t>多功能电力仪表</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8、出线回路电流互感器：BH-0.66 **/5A 0.2S级 变比与出线开关匹配</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9、主母线规格：TMY-4×80mm×8mm+1×50mm×5</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10、柜体（宽*深*高）：800</w:t>
            </w:r>
            <w:r>
              <w:rPr>
                <w:rFonts w:hint="eastAsia" w:ascii="仿宋" w:hAnsi="仿宋" w:eastAsia="仿宋" w:cs="仿宋"/>
                <w:color w:val="000000" w:themeColor="text1"/>
                <w:kern w:val="0"/>
                <w:sz w:val="28"/>
                <w:szCs w:val="28"/>
                <w:lang w:val="en-US" w:eastAsia="zh-CN"/>
                <w14:textFill>
                  <w14:solidFill>
                    <w14:schemeClr w14:val="tx1"/>
                  </w14:solidFill>
                </w14:textFill>
              </w:rPr>
              <w:t>mm</w:t>
            </w:r>
            <w:r>
              <w:rPr>
                <w:rFonts w:hint="eastAsia" w:ascii="仿宋" w:hAnsi="仿宋" w:eastAsia="仿宋" w:cs="仿宋"/>
                <w:color w:val="000000" w:themeColor="text1"/>
                <w:kern w:val="0"/>
                <w:sz w:val="28"/>
                <w:szCs w:val="28"/>
                <w14:textFill>
                  <w14:solidFill>
                    <w14:schemeClr w14:val="tx1"/>
                  </w14:solidFill>
                </w14:textFill>
              </w:rPr>
              <w:t>*600</w:t>
            </w:r>
            <w:r>
              <w:rPr>
                <w:rFonts w:hint="eastAsia" w:ascii="仿宋" w:hAnsi="仿宋" w:eastAsia="仿宋" w:cs="仿宋"/>
                <w:color w:val="000000" w:themeColor="text1"/>
                <w:kern w:val="0"/>
                <w:sz w:val="28"/>
                <w:szCs w:val="28"/>
                <w:lang w:val="en-US" w:eastAsia="zh-CN"/>
                <w14:textFill>
                  <w14:solidFill>
                    <w14:schemeClr w14:val="tx1"/>
                  </w14:solidFill>
                </w14:textFill>
              </w:rPr>
              <w:t>mm</w:t>
            </w:r>
            <w:r>
              <w:rPr>
                <w:rFonts w:hint="eastAsia" w:ascii="仿宋" w:hAnsi="仿宋" w:eastAsia="仿宋" w:cs="仿宋"/>
                <w:color w:val="000000" w:themeColor="text1"/>
                <w:kern w:val="0"/>
                <w:sz w:val="28"/>
                <w:szCs w:val="28"/>
                <w14:textFill>
                  <w14:solidFill>
                    <w14:schemeClr w14:val="tx1"/>
                  </w14:solidFill>
                </w14:textFill>
              </w:rPr>
              <w:t>*1950</w:t>
            </w:r>
            <w:r>
              <w:rPr>
                <w:rFonts w:hint="eastAsia" w:ascii="仿宋" w:hAnsi="仿宋" w:eastAsia="仿宋" w:cs="仿宋"/>
                <w:color w:val="000000" w:themeColor="text1"/>
                <w:kern w:val="0"/>
                <w:sz w:val="28"/>
                <w:szCs w:val="28"/>
                <w:lang w:val="en-US" w:eastAsia="zh-CN"/>
                <w14:textFill>
                  <w14:solidFill>
                    <w14:schemeClr w14:val="tx1"/>
                  </w14:solidFill>
                </w14:textFill>
              </w:rPr>
              <w:t>mm（±50mm）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pPr>
              <w:widowControl/>
              <w:spacing w:line="276" w:lineRule="auto"/>
              <w:jc w:val="both"/>
              <w:rPr>
                <w:rFonts w:hint="eastAsia" w:ascii="仿宋" w:hAnsi="仿宋" w:eastAsia="仿宋" w:cs="仿宋"/>
                <w:color w:val="000000" w:themeColor="text1"/>
                <w:kern w:val="0"/>
                <w:sz w:val="28"/>
                <w:szCs w:val="28"/>
                <w14:textFill>
                  <w14:solidFill>
                    <w14:schemeClr w14:val="tx1"/>
                  </w14:solidFill>
                </w14:textFill>
              </w:rPr>
            </w:pPr>
          </w:p>
        </w:tc>
        <w:tc>
          <w:tcPr>
            <w:tcW w:w="851" w:type="dxa"/>
            <w:vAlign w:val="center"/>
          </w:tcPr>
          <w:p>
            <w:pPr>
              <w:widowControl/>
              <w:spacing w:line="276" w:lineRule="auto"/>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7</w:t>
            </w:r>
          </w:p>
        </w:tc>
        <w:tc>
          <w:tcPr>
            <w:tcW w:w="7654" w:type="dxa"/>
            <w:vAlign w:val="center"/>
          </w:tcPr>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主要技术要求：</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1、箱变为整体型箱壳，有足够的机械强度，在运输、安装中不发生变形。箱壳配有吊装装置，便于卸货、搬运和安装。</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2、箱体设有足够的通风口和隔热措施，确保在正常环境下运行时，所有电器设备的温升不超过其最高允许值。</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3、箱体的所有门向外开，开启角度＞90°，并设有定位装置。所有的门均具有密封措施，并装有把手、暗闩，箱门装有外挂锁孔。</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4、箱体顶盖的倾斜度≥3°，并装设防雨檐。</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5、外箱体内部元件及说明采用中文标识，箱体设置有醒目的安全标志。四周有“高压危险”的警示标志。</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6、箱壳有防尘，防晒、防雨、防锈、防盗、防小动物进入等措施或装置</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7、箱变高低压柜及低压出线、计量和补偿各个小室间必须完全独立分隔开；箱变内高低压带电体必须满足对地、相对相间的最小安全距离。</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8、壳材料应采用（彩钢板5cm厚，立柱采用冷轧钢板是3mm厚）或非金属材料，非金属材料应具有极强的抗暴晒、抗辐射及隔热性；具有极好的防冻、抗裂、防腐蚀特性；应具有极好的防潮阻燃性能，在骤冷骤热环境温度的变化下不会产生凝露；应具有全天候使用性能，可和周围环境协调，美观大方；应具有一定冲击强度。箱体金属框架均应有良好的接地，有接地端子，并标明接地符号，根据校园环境和要求，定点定位摆放，满足正常使用。</w:t>
            </w:r>
          </w:p>
        </w:tc>
      </w:tr>
    </w:tbl>
    <w:p/>
    <w:p/>
    <w:p>
      <w:pPr>
        <w:widowControl/>
        <w:jc w:val="left"/>
      </w:pPr>
      <w:r>
        <w:br w:type="page"/>
      </w:r>
    </w:p>
    <w:p>
      <w:pPr>
        <w:jc w:val="left"/>
        <w:rPr>
          <w:rFonts w:hint="eastAsia" w:ascii="仿宋" w:hAnsi="仿宋" w:eastAsia="仿宋" w:cs="仿宋"/>
          <w:sz w:val="28"/>
          <w:szCs w:val="28"/>
          <w:lang w:eastAsia="zh-CN"/>
        </w:rPr>
      </w:pPr>
      <w:r>
        <w:rPr>
          <w:rFonts w:hint="eastAsia" w:ascii="仿宋" w:hAnsi="仿宋" w:eastAsia="仿宋" w:cs="仿宋"/>
          <w:sz w:val="28"/>
          <w:szCs w:val="28"/>
        </w:rPr>
        <w:t>1.3 锦地苑生活4#</w:t>
      </w:r>
      <w:r>
        <w:rPr>
          <w:rFonts w:hint="eastAsia" w:ascii="仿宋" w:hAnsi="仿宋" w:eastAsia="仿宋" w:cs="仿宋"/>
          <w:sz w:val="28"/>
          <w:szCs w:val="28"/>
          <w:lang w:eastAsia="zh-CN"/>
        </w:rPr>
        <w:t>箱式变电站</w:t>
      </w:r>
    </w:p>
    <w:tbl>
      <w:tblPr>
        <w:tblStyle w:val="10"/>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851"/>
        <w:gridCol w:w="7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widowControl/>
              <w:spacing w:line="276"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参数性质</w:t>
            </w:r>
          </w:p>
        </w:tc>
        <w:tc>
          <w:tcPr>
            <w:tcW w:w="851" w:type="dxa"/>
            <w:vAlign w:val="center"/>
          </w:tcPr>
          <w:p>
            <w:pPr>
              <w:widowControl/>
              <w:spacing w:line="276"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序号</w:t>
            </w:r>
          </w:p>
        </w:tc>
        <w:tc>
          <w:tcPr>
            <w:tcW w:w="7615" w:type="dxa"/>
            <w:vAlign w:val="center"/>
          </w:tcPr>
          <w:p>
            <w:pPr>
              <w:widowControl/>
              <w:spacing w:line="276"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技术参数与性能指标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vAlign w:val="center"/>
          </w:tcPr>
          <w:p>
            <w:pPr>
              <w:widowControl/>
              <w:tabs>
                <w:tab w:val="left" w:pos="418"/>
              </w:tabs>
              <w:spacing w:line="276" w:lineRule="auto"/>
              <w:jc w:val="center"/>
              <w:rPr>
                <w:rFonts w:hint="default"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630KVA箱式变电站</w:t>
            </w:r>
          </w:p>
        </w:tc>
        <w:tc>
          <w:tcPr>
            <w:tcW w:w="851" w:type="dxa"/>
            <w:vAlign w:val="center"/>
          </w:tcPr>
          <w:p>
            <w:pPr>
              <w:widowControl/>
              <w:spacing w:line="276" w:lineRule="auto"/>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w:t>
            </w:r>
          </w:p>
        </w:tc>
        <w:tc>
          <w:tcPr>
            <w:tcW w:w="7615" w:type="dxa"/>
            <w:vAlign w:val="center"/>
          </w:tcPr>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高压环网柜:HXGN-12  4AH01</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主要配置及参数：</w:t>
            </w:r>
          </w:p>
          <w:p>
            <w:pPr>
              <w:widowControl/>
              <w:numPr>
                <w:ilvl w:val="0"/>
                <w:numId w:val="0"/>
              </w:numPr>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w:t>
            </w:r>
            <w:r>
              <w:rPr>
                <w:rFonts w:hint="eastAsia" w:ascii="仿宋" w:hAnsi="仿宋" w:eastAsia="仿宋" w:cs="仿宋"/>
                <w:color w:val="000000" w:themeColor="text1"/>
                <w:kern w:val="0"/>
                <w:sz w:val="28"/>
                <w:szCs w:val="28"/>
                <w14:textFill>
                  <w14:solidFill>
                    <w14:schemeClr w14:val="tx1"/>
                  </w14:solidFill>
                </w14:textFill>
              </w:rPr>
              <w:t>隔离开关：GN30-12/630A 含机械闭锁</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2、固定式真空断路器：VS1-12/630-31.5KA</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3、电流互感器：LZZBJ9-10 75/5A 0.5/10P20</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4、微机保护装置：瞬时电流速断、带时限电流速断、反时限过负荷、单相接地故障、开门跳闸，测量功能、监测功能、控制功能等</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5、其他配置：带电显示装置DXN-Q(带电磁锁)温湿度控制器(含上下仓加热器)、UPS电源：1000VA</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6、避雷器：HY5WZ-17/45</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7、主母线规格：TMY-3*（50mm×5mm）</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8、柜体（宽*深*高）：900</w:t>
            </w:r>
            <w:r>
              <w:rPr>
                <w:rFonts w:hint="eastAsia" w:ascii="仿宋" w:hAnsi="仿宋" w:eastAsia="仿宋" w:cs="仿宋"/>
                <w:color w:val="000000" w:themeColor="text1"/>
                <w:kern w:val="0"/>
                <w:sz w:val="28"/>
                <w:szCs w:val="28"/>
                <w:lang w:val="en-US" w:eastAsia="zh-CN"/>
                <w14:textFill>
                  <w14:solidFill>
                    <w14:schemeClr w14:val="tx1"/>
                  </w14:solidFill>
                </w14:textFill>
              </w:rPr>
              <w:t>mm</w:t>
            </w:r>
            <w:r>
              <w:rPr>
                <w:rFonts w:hint="eastAsia" w:ascii="仿宋" w:hAnsi="仿宋" w:eastAsia="仿宋" w:cs="仿宋"/>
                <w:color w:val="000000" w:themeColor="text1"/>
                <w:kern w:val="0"/>
                <w:sz w:val="28"/>
                <w:szCs w:val="28"/>
                <w14:textFill>
                  <w14:solidFill>
                    <w14:schemeClr w14:val="tx1"/>
                  </w14:solidFill>
                </w14:textFill>
              </w:rPr>
              <w:t>*1000</w:t>
            </w:r>
            <w:r>
              <w:rPr>
                <w:rFonts w:hint="eastAsia" w:ascii="仿宋" w:hAnsi="仿宋" w:eastAsia="仿宋" w:cs="仿宋"/>
                <w:color w:val="000000" w:themeColor="text1"/>
                <w:kern w:val="0"/>
                <w:sz w:val="28"/>
                <w:szCs w:val="28"/>
                <w:lang w:val="en-US" w:eastAsia="zh-CN"/>
                <w14:textFill>
                  <w14:solidFill>
                    <w14:schemeClr w14:val="tx1"/>
                  </w14:solidFill>
                </w14:textFill>
              </w:rPr>
              <w:t>mm</w:t>
            </w:r>
            <w:r>
              <w:rPr>
                <w:rFonts w:hint="eastAsia" w:ascii="仿宋" w:hAnsi="仿宋" w:eastAsia="仿宋" w:cs="仿宋"/>
                <w:color w:val="000000" w:themeColor="text1"/>
                <w:kern w:val="0"/>
                <w:sz w:val="28"/>
                <w:szCs w:val="28"/>
                <w14:textFill>
                  <w14:solidFill>
                    <w14:schemeClr w14:val="tx1"/>
                  </w14:solidFill>
                </w14:textFill>
              </w:rPr>
              <w:t>*1950</w:t>
            </w:r>
            <w:r>
              <w:rPr>
                <w:rFonts w:hint="eastAsia" w:ascii="仿宋" w:hAnsi="仿宋" w:eastAsia="仿宋" w:cs="仿宋"/>
                <w:color w:val="000000" w:themeColor="text1"/>
                <w:kern w:val="0"/>
                <w:sz w:val="28"/>
                <w:szCs w:val="28"/>
                <w:lang w:val="en-US" w:eastAsia="zh-CN"/>
                <w14:textFill>
                  <w14:solidFill>
                    <w14:schemeClr w14:val="tx1"/>
                  </w14:solidFill>
                </w14:textFill>
              </w:rPr>
              <w:t>mm（±50mm）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widowControl/>
              <w:spacing w:line="276" w:lineRule="auto"/>
              <w:jc w:val="center"/>
              <w:rPr>
                <w:rFonts w:hint="eastAsia" w:ascii="仿宋" w:hAnsi="仿宋" w:eastAsia="仿宋" w:cs="仿宋"/>
                <w:color w:val="000000" w:themeColor="text1"/>
                <w:kern w:val="0"/>
                <w:sz w:val="28"/>
                <w:szCs w:val="28"/>
                <w14:textFill>
                  <w14:solidFill>
                    <w14:schemeClr w14:val="tx1"/>
                  </w14:solidFill>
                </w14:textFill>
              </w:rPr>
            </w:pPr>
          </w:p>
        </w:tc>
        <w:tc>
          <w:tcPr>
            <w:tcW w:w="851" w:type="dxa"/>
            <w:vAlign w:val="center"/>
          </w:tcPr>
          <w:p>
            <w:pPr>
              <w:widowControl/>
              <w:spacing w:line="276" w:lineRule="auto"/>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w:t>
            </w:r>
          </w:p>
        </w:tc>
        <w:tc>
          <w:tcPr>
            <w:tcW w:w="7615" w:type="dxa"/>
            <w:vAlign w:val="center"/>
          </w:tcPr>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1、</w:t>
            </w:r>
            <w:r>
              <w:rPr>
                <w:rFonts w:hint="eastAsia" w:ascii="仿宋" w:hAnsi="仿宋" w:eastAsia="仿宋" w:cs="仿宋"/>
                <w:color w:val="000000" w:themeColor="text1"/>
                <w:kern w:val="0"/>
                <w:sz w:val="28"/>
                <w:szCs w:val="28"/>
                <w14:textFill>
                  <w14:solidFill>
                    <w14:schemeClr w14:val="tx1"/>
                  </w14:solidFill>
                </w14:textFill>
              </w:rPr>
              <w:t>干式变压器（铜芯）规格：SCB14-630KVA-10/0.4kV</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2、</w:t>
            </w:r>
            <w:r>
              <w:rPr>
                <w:rFonts w:hint="eastAsia" w:ascii="仿宋" w:hAnsi="仿宋" w:eastAsia="仿宋" w:cs="仿宋"/>
                <w:color w:val="000000" w:themeColor="text1"/>
                <w:kern w:val="0"/>
                <w:sz w:val="28"/>
                <w:szCs w:val="28"/>
                <w14:textFill>
                  <w14:solidFill>
                    <w14:schemeClr w14:val="tx1"/>
                  </w14:solidFill>
                </w14:textFill>
              </w:rPr>
              <w:t>连接方式：D yn11；</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sz w:val="28"/>
                <w:szCs w:val="28"/>
              </w:rPr>
              <w:t>★</w:t>
            </w:r>
            <w:r>
              <w:rPr>
                <w:rFonts w:hint="eastAsia" w:ascii="仿宋" w:hAnsi="仿宋" w:eastAsia="仿宋" w:cs="仿宋"/>
                <w:color w:val="000000" w:themeColor="text1"/>
                <w:kern w:val="0"/>
                <w:sz w:val="28"/>
                <w:szCs w:val="28"/>
                <w:lang w:val="en-US" w:eastAsia="zh-CN"/>
                <w14:textFill>
                  <w14:solidFill>
                    <w14:schemeClr w14:val="tx1"/>
                  </w14:solidFill>
                </w14:textFill>
              </w:rPr>
              <w:t>3、</w:t>
            </w:r>
            <w:r>
              <w:rPr>
                <w:rFonts w:hint="eastAsia" w:ascii="仿宋" w:hAnsi="仿宋" w:eastAsia="仿宋" w:cs="仿宋"/>
                <w:color w:val="000000" w:themeColor="text1"/>
                <w:kern w:val="0"/>
                <w:sz w:val="28"/>
                <w:szCs w:val="28"/>
                <w14:textFill>
                  <w14:solidFill>
                    <w14:schemeClr w14:val="tx1"/>
                  </w14:solidFill>
                </w14:textFill>
              </w:rPr>
              <w:t>空载损耗和负载损耗符合GB 20052-2020表2中2级能效标准；</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4、</w:t>
            </w:r>
            <w:r>
              <w:rPr>
                <w:rFonts w:hint="eastAsia" w:ascii="仿宋" w:hAnsi="仿宋" w:eastAsia="仿宋" w:cs="仿宋"/>
                <w:color w:val="000000" w:themeColor="text1"/>
                <w:kern w:val="0"/>
                <w:sz w:val="28"/>
                <w:szCs w:val="28"/>
                <w14:textFill>
                  <w14:solidFill>
                    <w14:schemeClr w14:val="tx1"/>
                  </w14:solidFill>
                </w14:textFill>
              </w:rPr>
              <w:t>行程开关、温度控制器、轴流风机、检修灯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widowControl/>
              <w:spacing w:line="276" w:lineRule="auto"/>
              <w:jc w:val="center"/>
              <w:rPr>
                <w:rFonts w:hint="eastAsia" w:ascii="仿宋" w:hAnsi="仿宋" w:eastAsia="仿宋" w:cs="仿宋"/>
                <w:color w:val="000000" w:themeColor="text1"/>
                <w:kern w:val="0"/>
                <w:sz w:val="28"/>
                <w:szCs w:val="28"/>
                <w14:textFill>
                  <w14:solidFill>
                    <w14:schemeClr w14:val="tx1"/>
                  </w14:solidFill>
                </w14:textFill>
              </w:rPr>
            </w:pPr>
          </w:p>
        </w:tc>
        <w:tc>
          <w:tcPr>
            <w:tcW w:w="851" w:type="dxa"/>
            <w:vAlign w:val="center"/>
          </w:tcPr>
          <w:p>
            <w:pPr>
              <w:widowControl/>
              <w:spacing w:line="276" w:lineRule="auto"/>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w:t>
            </w:r>
          </w:p>
        </w:tc>
        <w:tc>
          <w:tcPr>
            <w:tcW w:w="7615" w:type="dxa"/>
            <w:vAlign w:val="center"/>
          </w:tcPr>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低压进线开关柜：GGD 4AL01</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主要配置及参数：</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1、抽屉式框架断路器：MCB-2000/3 1250抽屉式 三段保护 控制电压:AC220V</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2、测量电流互感器：BH-0.66 1200/5 0.5级</w:t>
            </w:r>
          </w:p>
          <w:p>
            <w:pPr>
              <w:widowControl/>
              <w:spacing w:line="276" w:lineRule="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3、液晶多功能电力仪表：校方提供</w:t>
            </w:r>
            <w:r>
              <w:rPr>
                <w:rFonts w:hint="eastAsia" w:ascii="仿宋" w:hAnsi="仿宋" w:eastAsia="仿宋" w:cs="仿宋"/>
                <w:color w:val="000000" w:themeColor="text1"/>
                <w:kern w:val="0"/>
                <w:sz w:val="28"/>
                <w:szCs w:val="28"/>
                <w:lang w:val="en-US" w:eastAsia="zh-CN"/>
                <w14:textFill>
                  <w14:solidFill>
                    <w14:schemeClr w14:val="tx1"/>
                  </w14:solidFill>
                </w14:textFill>
              </w:rPr>
              <w:t>1只</w:t>
            </w:r>
            <w:r>
              <w:rPr>
                <w:rFonts w:hint="eastAsia" w:ascii="仿宋" w:hAnsi="仿宋" w:eastAsia="仿宋" w:cs="仿宋"/>
                <w:color w:val="000000" w:themeColor="text1"/>
                <w:kern w:val="0"/>
                <w:sz w:val="28"/>
                <w:szCs w:val="28"/>
                <w14:textFill>
                  <w14:solidFill>
                    <w14:schemeClr w14:val="tx1"/>
                  </w14:solidFill>
                </w14:textFill>
              </w:rPr>
              <w:t>满足与学校现有能耗平台</w:t>
            </w:r>
            <w:r>
              <w:rPr>
                <w:rFonts w:hint="eastAsia" w:ascii="仿宋" w:hAnsi="仿宋" w:eastAsia="仿宋" w:cs="仿宋"/>
                <w:color w:val="000000" w:themeColor="text1"/>
                <w:kern w:val="0"/>
                <w:sz w:val="28"/>
                <w:szCs w:val="28"/>
                <w:lang w:eastAsia="zh-CN"/>
                <w14:textFill>
                  <w14:solidFill>
                    <w14:schemeClr w14:val="tx1"/>
                  </w14:solidFill>
                </w14:textFill>
              </w:rPr>
              <w:t>匹配</w:t>
            </w:r>
            <w:r>
              <w:rPr>
                <w:rFonts w:hint="eastAsia" w:ascii="仿宋" w:hAnsi="仿宋" w:eastAsia="仿宋" w:cs="仿宋"/>
                <w:color w:val="000000" w:themeColor="text1"/>
                <w:kern w:val="0"/>
                <w:sz w:val="28"/>
                <w:szCs w:val="28"/>
                <w14:textFill>
                  <w14:solidFill>
                    <w14:schemeClr w14:val="tx1"/>
                  </w14:solidFill>
                </w14:textFill>
              </w:rPr>
              <w:t>多功能电力仪表</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4、计量电流互感器：BH-0.66 1200/5 0.2S级</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5、配置计量电度表：3*220/380V 1.5(6)A</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6</w:t>
            </w:r>
            <w:r>
              <w:rPr>
                <w:rFonts w:hint="eastAsia" w:ascii="仿宋" w:hAnsi="仿宋" w:eastAsia="仿宋" w:cs="仿宋"/>
                <w:color w:val="000000" w:themeColor="text1"/>
                <w:kern w:val="0"/>
                <w:sz w:val="28"/>
                <w:szCs w:val="28"/>
                <w14:textFill>
                  <w14:solidFill>
                    <w14:schemeClr w14:val="tx1"/>
                  </w14:solidFill>
                </w14:textFill>
              </w:rPr>
              <w:t>、浪涌保护器：T1级保护</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7</w:t>
            </w:r>
            <w:r>
              <w:rPr>
                <w:rFonts w:hint="eastAsia" w:ascii="仿宋" w:hAnsi="仿宋" w:eastAsia="仿宋" w:cs="仿宋"/>
                <w:color w:val="000000" w:themeColor="text1"/>
                <w:kern w:val="0"/>
                <w:sz w:val="28"/>
                <w:szCs w:val="28"/>
                <w14:textFill>
                  <w14:solidFill>
                    <w14:schemeClr w14:val="tx1"/>
                  </w14:solidFill>
                </w14:textFill>
              </w:rPr>
              <w:t>、主母线规格：TMY-4×80mm×8mm+1×50mm×5</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8</w:t>
            </w:r>
            <w:r>
              <w:rPr>
                <w:rFonts w:hint="eastAsia" w:ascii="仿宋" w:hAnsi="仿宋" w:eastAsia="仿宋" w:cs="仿宋"/>
                <w:color w:val="000000" w:themeColor="text1"/>
                <w:kern w:val="0"/>
                <w:sz w:val="28"/>
                <w:szCs w:val="28"/>
                <w14:textFill>
                  <w14:solidFill>
                    <w14:schemeClr w14:val="tx1"/>
                  </w14:solidFill>
                </w14:textFill>
              </w:rPr>
              <w:t>、柜体（宽*深*高）：800</w:t>
            </w:r>
            <w:r>
              <w:rPr>
                <w:rFonts w:hint="eastAsia" w:ascii="仿宋" w:hAnsi="仿宋" w:eastAsia="仿宋" w:cs="仿宋"/>
                <w:color w:val="000000" w:themeColor="text1"/>
                <w:kern w:val="0"/>
                <w:sz w:val="28"/>
                <w:szCs w:val="28"/>
                <w:lang w:val="en-US" w:eastAsia="zh-CN"/>
                <w14:textFill>
                  <w14:solidFill>
                    <w14:schemeClr w14:val="tx1"/>
                  </w14:solidFill>
                </w14:textFill>
              </w:rPr>
              <w:t>mm</w:t>
            </w:r>
            <w:r>
              <w:rPr>
                <w:rFonts w:hint="eastAsia" w:ascii="仿宋" w:hAnsi="仿宋" w:eastAsia="仿宋" w:cs="仿宋"/>
                <w:color w:val="000000" w:themeColor="text1"/>
                <w:kern w:val="0"/>
                <w:sz w:val="28"/>
                <w:szCs w:val="28"/>
                <w14:textFill>
                  <w14:solidFill>
                    <w14:schemeClr w14:val="tx1"/>
                  </w14:solidFill>
                </w14:textFill>
              </w:rPr>
              <w:t>*600</w:t>
            </w:r>
            <w:r>
              <w:rPr>
                <w:rFonts w:hint="eastAsia" w:ascii="仿宋" w:hAnsi="仿宋" w:eastAsia="仿宋" w:cs="仿宋"/>
                <w:color w:val="000000" w:themeColor="text1"/>
                <w:kern w:val="0"/>
                <w:sz w:val="28"/>
                <w:szCs w:val="28"/>
                <w:lang w:val="en-US" w:eastAsia="zh-CN"/>
                <w14:textFill>
                  <w14:solidFill>
                    <w14:schemeClr w14:val="tx1"/>
                  </w14:solidFill>
                </w14:textFill>
              </w:rPr>
              <w:t>mm</w:t>
            </w:r>
            <w:r>
              <w:rPr>
                <w:rFonts w:hint="eastAsia" w:ascii="仿宋" w:hAnsi="仿宋" w:eastAsia="仿宋" w:cs="仿宋"/>
                <w:color w:val="000000" w:themeColor="text1"/>
                <w:kern w:val="0"/>
                <w:sz w:val="28"/>
                <w:szCs w:val="28"/>
                <w14:textFill>
                  <w14:solidFill>
                    <w14:schemeClr w14:val="tx1"/>
                  </w14:solidFill>
                </w14:textFill>
              </w:rPr>
              <w:t>*1950</w:t>
            </w:r>
            <w:r>
              <w:rPr>
                <w:rFonts w:hint="eastAsia" w:ascii="仿宋" w:hAnsi="仿宋" w:eastAsia="仿宋" w:cs="仿宋"/>
                <w:color w:val="000000" w:themeColor="text1"/>
                <w:kern w:val="0"/>
                <w:sz w:val="28"/>
                <w:szCs w:val="28"/>
                <w:lang w:val="en-US" w:eastAsia="zh-CN"/>
                <w14:textFill>
                  <w14:solidFill>
                    <w14:schemeClr w14:val="tx1"/>
                  </w14:solidFill>
                </w14:textFill>
              </w:rPr>
              <w:t>mm（±50mm）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widowControl/>
              <w:spacing w:line="276" w:lineRule="auto"/>
              <w:jc w:val="center"/>
              <w:rPr>
                <w:rFonts w:hint="eastAsia" w:ascii="仿宋" w:hAnsi="仿宋" w:eastAsia="仿宋" w:cs="仿宋"/>
                <w:color w:val="000000" w:themeColor="text1"/>
                <w:kern w:val="0"/>
                <w:sz w:val="28"/>
                <w:szCs w:val="28"/>
                <w14:textFill>
                  <w14:solidFill>
                    <w14:schemeClr w14:val="tx1"/>
                  </w14:solidFill>
                </w14:textFill>
              </w:rPr>
            </w:pPr>
          </w:p>
        </w:tc>
        <w:tc>
          <w:tcPr>
            <w:tcW w:w="851" w:type="dxa"/>
            <w:vAlign w:val="center"/>
          </w:tcPr>
          <w:p>
            <w:pPr>
              <w:widowControl/>
              <w:spacing w:line="276" w:lineRule="auto"/>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w:t>
            </w:r>
          </w:p>
        </w:tc>
        <w:tc>
          <w:tcPr>
            <w:tcW w:w="7615" w:type="dxa"/>
            <w:vAlign w:val="center"/>
          </w:tcPr>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无功补偿柜：GGJ  4AL02 240kvar</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主要配置及参数：</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xml:space="preserve">1、刀熔开关：HR3BX-600/32 600A </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xml:space="preserve">2、电流互感器：BH-0.66 500/5A </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3、低压熔断器：RT36-63A/3</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4、交流接触器：CJ19-63/21</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5、电容器：BSMJ0.45-30-3</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6、无功补偿控制器</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7、液晶多功能电力仪表：具备电流、电压、电度、有功、无功、功率因数、MODBUS485接口等功能</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8、主母线规格：TMY-4×80mm×8mm+1×50mm×5</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9、氧化锌避雷器：HY1.5WR-0.28/1.3</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10、柜体（宽*深*高）：800*600*1950</w:t>
            </w:r>
            <w:r>
              <w:rPr>
                <w:rFonts w:hint="eastAsia" w:ascii="仿宋" w:hAnsi="仿宋" w:eastAsia="仿宋" w:cs="仿宋"/>
                <w:color w:val="000000" w:themeColor="text1"/>
                <w:kern w:val="0"/>
                <w:sz w:val="28"/>
                <w:szCs w:val="28"/>
                <w:lang w:val="en-US" w:eastAsia="zh-CN"/>
                <w14:textFill>
                  <w14:solidFill>
                    <w14:schemeClr w14:val="tx1"/>
                  </w14:solidFill>
                </w14:textFill>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widowControl/>
              <w:spacing w:line="276" w:lineRule="auto"/>
              <w:jc w:val="center"/>
              <w:rPr>
                <w:rFonts w:hint="eastAsia" w:ascii="仿宋" w:hAnsi="仿宋" w:eastAsia="仿宋" w:cs="仿宋"/>
                <w:color w:val="000000" w:themeColor="text1"/>
                <w:kern w:val="0"/>
                <w:sz w:val="28"/>
                <w:szCs w:val="28"/>
                <w14:textFill>
                  <w14:solidFill>
                    <w14:schemeClr w14:val="tx1"/>
                  </w14:solidFill>
                </w14:textFill>
              </w:rPr>
            </w:pPr>
          </w:p>
        </w:tc>
        <w:tc>
          <w:tcPr>
            <w:tcW w:w="851" w:type="dxa"/>
            <w:vAlign w:val="center"/>
          </w:tcPr>
          <w:p>
            <w:pPr>
              <w:widowControl/>
              <w:spacing w:line="276" w:lineRule="auto"/>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w:t>
            </w:r>
          </w:p>
        </w:tc>
        <w:tc>
          <w:tcPr>
            <w:tcW w:w="7615" w:type="dxa"/>
            <w:vAlign w:val="center"/>
          </w:tcPr>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低压出线开关柜：GGD  4AL03</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主要配置及参数：</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1、刀开关：HD13BX-1500/31 1只</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2、塑壳断路器：MCCB-400S/3300 630A 3只</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3、电流互感器 ：BH-0.66 1200/5A 3只</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4、液晶多功能电力仪表：具备电流、电压、电度、MODBUS485接口等功能</w:t>
            </w:r>
          </w:p>
          <w:p>
            <w:pPr>
              <w:widowControl/>
              <w:spacing w:line="276" w:lineRule="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5、出线回路液晶多功能电力仪表：校方提供</w:t>
            </w:r>
            <w:r>
              <w:rPr>
                <w:rFonts w:hint="eastAsia" w:ascii="仿宋" w:hAnsi="仿宋" w:eastAsia="仿宋" w:cs="仿宋"/>
                <w:color w:val="000000" w:themeColor="text1"/>
                <w:kern w:val="0"/>
                <w:sz w:val="28"/>
                <w:szCs w:val="28"/>
                <w:lang w:val="en-US" w:eastAsia="zh-CN"/>
                <w14:textFill>
                  <w14:solidFill>
                    <w14:schemeClr w14:val="tx1"/>
                  </w14:solidFill>
                </w14:textFill>
              </w:rPr>
              <w:t>3只</w:t>
            </w:r>
            <w:r>
              <w:rPr>
                <w:rFonts w:hint="eastAsia" w:ascii="仿宋" w:hAnsi="仿宋" w:eastAsia="仿宋" w:cs="仿宋"/>
                <w:color w:val="000000" w:themeColor="text1"/>
                <w:kern w:val="0"/>
                <w:sz w:val="28"/>
                <w:szCs w:val="28"/>
                <w14:textFill>
                  <w14:solidFill>
                    <w14:schemeClr w14:val="tx1"/>
                  </w14:solidFill>
                </w14:textFill>
              </w:rPr>
              <w:t>满足与学校现有能耗平台</w:t>
            </w:r>
            <w:r>
              <w:rPr>
                <w:rFonts w:hint="eastAsia" w:ascii="仿宋" w:hAnsi="仿宋" w:eastAsia="仿宋" w:cs="仿宋"/>
                <w:color w:val="000000" w:themeColor="text1"/>
                <w:kern w:val="0"/>
                <w:sz w:val="28"/>
                <w:szCs w:val="28"/>
                <w:lang w:eastAsia="zh-CN"/>
                <w14:textFill>
                  <w14:solidFill>
                    <w14:schemeClr w14:val="tx1"/>
                  </w14:solidFill>
                </w14:textFill>
              </w:rPr>
              <w:t>匹配</w:t>
            </w:r>
            <w:r>
              <w:rPr>
                <w:rFonts w:hint="eastAsia" w:ascii="仿宋" w:hAnsi="仿宋" w:eastAsia="仿宋" w:cs="仿宋"/>
                <w:color w:val="000000" w:themeColor="text1"/>
                <w:kern w:val="0"/>
                <w:sz w:val="28"/>
                <w:szCs w:val="28"/>
                <w14:textFill>
                  <w14:solidFill>
                    <w14:schemeClr w14:val="tx1"/>
                  </w14:solidFill>
                </w14:textFill>
              </w:rPr>
              <w:t>多功能电力仪表</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6、出线回路电流互感器：BH-0.66 **/5A 0.2S级 变比与出线开关匹配</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7、主母线规格：TMY-4×80mm×8mm+1×50mm×5</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8、柜体（宽*深*高）：800</w:t>
            </w:r>
            <w:r>
              <w:rPr>
                <w:rFonts w:hint="eastAsia" w:ascii="仿宋" w:hAnsi="仿宋" w:eastAsia="仿宋" w:cs="仿宋"/>
                <w:color w:val="000000" w:themeColor="text1"/>
                <w:kern w:val="0"/>
                <w:sz w:val="28"/>
                <w:szCs w:val="28"/>
                <w:lang w:val="en-US" w:eastAsia="zh-CN"/>
                <w14:textFill>
                  <w14:solidFill>
                    <w14:schemeClr w14:val="tx1"/>
                  </w14:solidFill>
                </w14:textFill>
              </w:rPr>
              <w:t>mm</w:t>
            </w:r>
            <w:r>
              <w:rPr>
                <w:rFonts w:hint="eastAsia" w:ascii="仿宋" w:hAnsi="仿宋" w:eastAsia="仿宋" w:cs="仿宋"/>
                <w:color w:val="000000" w:themeColor="text1"/>
                <w:kern w:val="0"/>
                <w:sz w:val="28"/>
                <w:szCs w:val="28"/>
                <w14:textFill>
                  <w14:solidFill>
                    <w14:schemeClr w14:val="tx1"/>
                  </w14:solidFill>
                </w14:textFill>
              </w:rPr>
              <w:t>*600</w:t>
            </w:r>
            <w:r>
              <w:rPr>
                <w:rFonts w:hint="eastAsia" w:ascii="仿宋" w:hAnsi="仿宋" w:eastAsia="仿宋" w:cs="仿宋"/>
                <w:color w:val="000000" w:themeColor="text1"/>
                <w:kern w:val="0"/>
                <w:sz w:val="28"/>
                <w:szCs w:val="28"/>
                <w:lang w:val="en-US" w:eastAsia="zh-CN"/>
                <w14:textFill>
                  <w14:solidFill>
                    <w14:schemeClr w14:val="tx1"/>
                  </w14:solidFill>
                </w14:textFill>
              </w:rPr>
              <w:t>mm</w:t>
            </w:r>
            <w:r>
              <w:rPr>
                <w:rFonts w:hint="eastAsia" w:ascii="仿宋" w:hAnsi="仿宋" w:eastAsia="仿宋" w:cs="仿宋"/>
                <w:color w:val="000000" w:themeColor="text1"/>
                <w:kern w:val="0"/>
                <w:sz w:val="28"/>
                <w:szCs w:val="28"/>
                <w14:textFill>
                  <w14:solidFill>
                    <w14:schemeClr w14:val="tx1"/>
                  </w14:solidFill>
                </w14:textFill>
              </w:rPr>
              <w:t>*1950</w:t>
            </w:r>
            <w:r>
              <w:rPr>
                <w:rFonts w:hint="eastAsia" w:ascii="仿宋" w:hAnsi="仿宋" w:eastAsia="仿宋" w:cs="仿宋"/>
                <w:color w:val="000000" w:themeColor="text1"/>
                <w:kern w:val="0"/>
                <w:sz w:val="28"/>
                <w:szCs w:val="28"/>
                <w:lang w:val="en-US" w:eastAsia="zh-CN"/>
                <w14:textFill>
                  <w14:solidFill>
                    <w14:schemeClr w14:val="tx1"/>
                  </w14:solidFill>
                </w14:textFill>
              </w:rPr>
              <w:t>mm（±50mm）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widowControl/>
              <w:spacing w:line="276" w:lineRule="auto"/>
              <w:jc w:val="center"/>
              <w:rPr>
                <w:rFonts w:hint="eastAsia" w:ascii="仿宋" w:hAnsi="仿宋" w:eastAsia="仿宋" w:cs="仿宋"/>
                <w:color w:val="000000" w:themeColor="text1"/>
                <w:kern w:val="0"/>
                <w:sz w:val="28"/>
                <w:szCs w:val="28"/>
                <w14:textFill>
                  <w14:solidFill>
                    <w14:schemeClr w14:val="tx1"/>
                  </w14:solidFill>
                </w14:textFill>
              </w:rPr>
            </w:pPr>
          </w:p>
        </w:tc>
        <w:tc>
          <w:tcPr>
            <w:tcW w:w="851" w:type="dxa"/>
            <w:shd w:val="clear" w:color="auto" w:fill="auto"/>
            <w:vAlign w:val="center"/>
          </w:tcPr>
          <w:p>
            <w:pPr>
              <w:widowControl/>
              <w:spacing w:line="276" w:lineRule="auto"/>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w:t>
            </w:r>
          </w:p>
        </w:tc>
        <w:tc>
          <w:tcPr>
            <w:tcW w:w="7615" w:type="dxa"/>
            <w:shd w:val="clear" w:color="auto" w:fill="auto"/>
            <w:vAlign w:val="center"/>
          </w:tcPr>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低压出线开关柜： GGD  4AL04</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主要配置及参数：</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1、刀开关：HD13BX-1500/31 1只</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2、塑壳断路器：MCCB-400S/3300 630A 1只</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3、塑壳断路器：MCCB-400S/3300 400A 2只</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4、电流互感器 ：BH-0.66 1200/5A 3只</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5、液晶多功能电力仪表：具备电流、电压、电度、MODBUS485接口等功能</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6、出线回路液晶多功能电力仪表：校方提供</w:t>
            </w:r>
            <w:r>
              <w:rPr>
                <w:rFonts w:hint="eastAsia" w:ascii="仿宋" w:hAnsi="仿宋" w:eastAsia="仿宋" w:cs="仿宋"/>
                <w:color w:val="000000" w:themeColor="text1"/>
                <w:kern w:val="0"/>
                <w:sz w:val="28"/>
                <w:szCs w:val="28"/>
                <w:lang w:val="en-US" w:eastAsia="zh-CN"/>
                <w14:textFill>
                  <w14:solidFill>
                    <w14:schemeClr w14:val="tx1"/>
                  </w14:solidFill>
                </w14:textFill>
              </w:rPr>
              <w:t>3只</w:t>
            </w:r>
            <w:r>
              <w:rPr>
                <w:rFonts w:hint="eastAsia" w:ascii="仿宋" w:hAnsi="仿宋" w:eastAsia="仿宋" w:cs="仿宋"/>
                <w:color w:val="000000" w:themeColor="text1"/>
                <w:kern w:val="0"/>
                <w:sz w:val="28"/>
                <w:szCs w:val="28"/>
                <w14:textFill>
                  <w14:solidFill>
                    <w14:schemeClr w14:val="tx1"/>
                  </w14:solidFill>
                </w14:textFill>
              </w:rPr>
              <w:t>满足与学校现有能耗平台</w:t>
            </w:r>
            <w:r>
              <w:rPr>
                <w:rFonts w:hint="eastAsia" w:ascii="仿宋" w:hAnsi="仿宋" w:eastAsia="仿宋" w:cs="仿宋"/>
                <w:color w:val="000000" w:themeColor="text1"/>
                <w:kern w:val="0"/>
                <w:sz w:val="28"/>
                <w:szCs w:val="28"/>
                <w:lang w:eastAsia="zh-CN"/>
                <w14:textFill>
                  <w14:solidFill>
                    <w14:schemeClr w14:val="tx1"/>
                  </w14:solidFill>
                </w14:textFill>
              </w:rPr>
              <w:t>匹配</w:t>
            </w:r>
            <w:r>
              <w:rPr>
                <w:rFonts w:hint="eastAsia" w:ascii="仿宋" w:hAnsi="仿宋" w:eastAsia="仿宋" w:cs="仿宋"/>
                <w:color w:val="000000" w:themeColor="text1"/>
                <w:kern w:val="0"/>
                <w:sz w:val="28"/>
                <w:szCs w:val="28"/>
                <w14:textFill>
                  <w14:solidFill>
                    <w14:schemeClr w14:val="tx1"/>
                  </w14:solidFill>
                </w14:textFill>
              </w:rPr>
              <w:t>多功能电力仪表</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7、出线回路电流互感器：BH-0.66 **/5A 0.2S级 变比与出线开关匹配</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8、主母线规格：TMY-4×80mm×8mm+1×50mm×5</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9、柜体（宽*深*高）：800</w:t>
            </w:r>
            <w:r>
              <w:rPr>
                <w:rFonts w:hint="eastAsia" w:ascii="仿宋" w:hAnsi="仿宋" w:eastAsia="仿宋" w:cs="仿宋"/>
                <w:color w:val="000000" w:themeColor="text1"/>
                <w:kern w:val="0"/>
                <w:sz w:val="28"/>
                <w:szCs w:val="28"/>
                <w:lang w:val="en-US" w:eastAsia="zh-CN"/>
                <w14:textFill>
                  <w14:solidFill>
                    <w14:schemeClr w14:val="tx1"/>
                  </w14:solidFill>
                </w14:textFill>
              </w:rPr>
              <w:t>mm</w:t>
            </w:r>
            <w:r>
              <w:rPr>
                <w:rFonts w:hint="eastAsia" w:ascii="仿宋" w:hAnsi="仿宋" w:eastAsia="仿宋" w:cs="仿宋"/>
                <w:color w:val="000000" w:themeColor="text1"/>
                <w:kern w:val="0"/>
                <w:sz w:val="28"/>
                <w:szCs w:val="28"/>
                <w14:textFill>
                  <w14:solidFill>
                    <w14:schemeClr w14:val="tx1"/>
                  </w14:solidFill>
                </w14:textFill>
              </w:rPr>
              <w:t>*600</w:t>
            </w:r>
            <w:r>
              <w:rPr>
                <w:rFonts w:hint="eastAsia" w:ascii="仿宋" w:hAnsi="仿宋" w:eastAsia="仿宋" w:cs="仿宋"/>
                <w:color w:val="000000" w:themeColor="text1"/>
                <w:kern w:val="0"/>
                <w:sz w:val="28"/>
                <w:szCs w:val="28"/>
                <w:lang w:val="en-US" w:eastAsia="zh-CN"/>
                <w14:textFill>
                  <w14:solidFill>
                    <w14:schemeClr w14:val="tx1"/>
                  </w14:solidFill>
                </w14:textFill>
              </w:rPr>
              <w:t>mm</w:t>
            </w:r>
            <w:r>
              <w:rPr>
                <w:rFonts w:hint="eastAsia" w:ascii="仿宋" w:hAnsi="仿宋" w:eastAsia="仿宋" w:cs="仿宋"/>
                <w:color w:val="000000" w:themeColor="text1"/>
                <w:kern w:val="0"/>
                <w:sz w:val="28"/>
                <w:szCs w:val="28"/>
                <w14:textFill>
                  <w14:solidFill>
                    <w14:schemeClr w14:val="tx1"/>
                  </w14:solidFill>
                </w14:textFill>
              </w:rPr>
              <w:t>*1950</w:t>
            </w:r>
            <w:r>
              <w:rPr>
                <w:rFonts w:hint="eastAsia" w:ascii="仿宋" w:hAnsi="仿宋" w:eastAsia="仿宋" w:cs="仿宋"/>
                <w:color w:val="000000" w:themeColor="text1"/>
                <w:kern w:val="0"/>
                <w:sz w:val="28"/>
                <w:szCs w:val="28"/>
                <w:lang w:val="en-US" w:eastAsia="zh-CN"/>
                <w14:textFill>
                  <w14:solidFill>
                    <w14:schemeClr w14:val="tx1"/>
                  </w14:solidFill>
                </w14:textFill>
              </w:rPr>
              <w:t>mm（±50mm）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widowControl/>
              <w:spacing w:line="276" w:lineRule="auto"/>
              <w:jc w:val="center"/>
              <w:rPr>
                <w:rFonts w:hint="eastAsia" w:ascii="仿宋" w:hAnsi="仿宋" w:eastAsia="仿宋" w:cs="仿宋"/>
                <w:color w:val="000000" w:themeColor="text1"/>
                <w:kern w:val="0"/>
                <w:sz w:val="28"/>
                <w:szCs w:val="28"/>
                <w14:textFill>
                  <w14:solidFill>
                    <w14:schemeClr w14:val="tx1"/>
                  </w14:solidFill>
                </w14:textFill>
              </w:rPr>
            </w:pPr>
          </w:p>
        </w:tc>
        <w:tc>
          <w:tcPr>
            <w:tcW w:w="851" w:type="dxa"/>
            <w:shd w:val="clear" w:color="auto" w:fill="auto"/>
            <w:vAlign w:val="center"/>
          </w:tcPr>
          <w:p>
            <w:pPr>
              <w:widowControl/>
              <w:spacing w:line="276" w:lineRule="auto"/>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7</w:t>
            </w:r>
          </w:p>
        </w:tc>
        <w:tc>
          <w:tcPr>
            <w:tcW w:w="7615" w:type="dxa"/>
            <w:shd w:val="clear" w:color="auto" w:fill="auto"/>
            <w:vAlign w:val="center"/>
          </w:tcPr>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低压出线开关柜：GGD  4AL05</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主要配置及参数：</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1、刀开关：HD13BX-1500/31 1只</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2、塑壳断路器：MCCB-400S/3300 400A 2只</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3、塑壳断路器：MCCB-400S/3300 315A 2只</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4、电流互感器 ：BH-0.66 1200/5A 3只</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5、液晶多功能电力仪表：具备电流、电压、电度、MODBUS485接口等功能</w:t>
            </w:r>
          </w:p>
          <w:p>
            <w:pPr>
              <w:widowControl/>
              <w:spacing w:line="276" w:lineRule="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6、出线回路液晶多功能电力仪表：校方提供</w:t>
            </w:r>
            <w:r>
              <w:rPr>
                <w:rFonts w:hint="eastAsia" w:ascii="仿宋" w:hAnsi="仿宋" w:eastAsia="仿宋" w:cs="仿宋"/>
                <w:color w:val="000000" w:themeColor="text1"/>
                <w:kern w:val="0"/>
                <w:sz w:val="28"/>
                <w:szCs w:val="28"/>
                <w:lang w:val="en-US" w:eastAsia="zh-CN"/>
                <w14:textFill>
                  <w14:solidFill>
                    <w14:schemeClr w14:val="tx1"/>
                  </w14:solidFill>
                </w14:textFill>
              </w:rPr>
              <w:t>3只</w:t>
            </w:r>
            <w:r>
              <w:rPr>
                <w:rFonts w:hint="eastAsia" w:ascii="仿宋" w:hAnsi="仿宋" w:eastAsia="仿宋" w:cs="仿宋"/>
                <w:color w:val="000000" w:themeColor="text1"/>
                <w:kern w:val="0"/>
                <w:sz w:val="28"/>
                <w:szCs w:val="28"/>
                <w14:textFill>
                  <w14:solidFill>
                    <w14:schemeClr w14:val="tx1"/>
                  </w14:solidFill>
                </w14:textFill>
              </w:rPr>
              <w:t>满足与学校现有能耗平台</w:t>
            </w:r>
            <w:r>
              <w:rPr>
                <w:rFonts w:hint="eastAsia" w:ascii="仿宋" w:hAnsi="仿宋" w:eastAsia="仿宋" w:cs="仿宋"/>
                <w:color w:val="000000" w:themeColor="text1"/>
                <w:kern w:val="0"/>
                <w:sz w:val="28"/>
                <w:szCs w:val="28"/>
                <w:lang w:eastAsia="zh-CN"/>
                <w14:textFill>
                  <w14:solidFill>
                    <w14:schemeClr w14:val="tx1"/>
                  </w14:solidFill>
                </w14:textFill>
              </w:rPr>
              <w:t>匹配</w:t>
            </w:r>
            <w:r>
              <w:rPr>
                <w:rFonts w:hint="eastAsia" w:ascii="仿宋" w:hAnsi="仿宋" w:eastAsia="仿宋" w:cs="仿宋"/>
                <w:color w:val="000000" w:themeColor="text1"/>
                <w:kern w:val="0"/>
                <w:sz w:val="28"/>
                <w:szCs w:val="28"/>
                <w14:textFill>
                  <w14:solidFill>
                    <w14:schemeClr w14:val="tx1"/>
                  </w14:solidFill>
                </w14:textFill>
              </w:rPr>
              <w:t>多功能电力仪表</w:t>
            </w:r>
            <w:r>
              <w:rPr>
                <w:rFonts w:hint="eastAsia" w:ascii="仿宋" w:hAnsi="仿宋" w:eastAsia="仿宋" w:cs="仿宋"/>
                <w:color w:val="000000" w:themeColor="text1"/>
                <w:kern w:val="0"/>
                <w:sz w:val="28"/>
                <w:szCs w:val="28"/>
                <w:lang w:val="en-US"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供应商</w:t>
            </w:r>
            <w:r>
              <w:rPr>
                <w:rFonts w:hint="eastAsia" w:ascii="仿宋" w:hAnsi="仿宋" w:eastAsia="仿宋" w:cs="仿宋"/>
                <w:color w:val="000000" w:themeColor="text1"/>
                <w:kern w:val="0"/>
                <w:sz w:val="28"/>
                <w:szCs w:val="28"/>
                <w:lang w:eastAsia="zh-CN"/>
                <w14:textFill>
                  <w14:solidFill>
                    <w14:schemeClr w14:val="tx1"/>
                  </w14:solidFill>
                </w14:textFill>
              </w:rPr>
              <w:t>提供</w:t>
            </w:r>
            <w:r>
              <w:rPr>
                <w:rFonts w:hint="eastAsia" w:ascii="仿宋" w:hAnsi="仿宋" w:eastAsia="仿宋" w:cs="仿宋"/>
                <w:color w:val="000000" w:themeColor="text1"/>
                <w:kern w:val="0"/>
                <w:sz w:val="28"/>
                <w:szCs w:val="28"/>
                <w:lang w:val="en-US" w:eastAsia="zh-CN"/>
                <w14:textFill>
                  <w14:solidFill>
                    <w14:schemeClr w14:val="tx1"/>
                  </w14:solidFill>
                </w14:textFill>
              </w:rPr>
              <w:t>1只</w:t>
            </w:r>
            <w:r>
              <w:rPr>
                <w:rFonts w:hint="eastAsia" w:ascii="仿宋" w:hAnsi="仿宋" w:eastAsia="仿宋" w:cs="仿宋"/>
                <w:color w:val="000000" w:themeColor="text1"/>
                <w:kern w:val="0"/>
                <w:sz w:val="28"/>
                <w:szCs w:val="28"/>
                <w14:textFill>
                  <w14:solidFill>
                    <w14:schemeClr w14:val="tx1"/>
                  </w14:solidFill>
                </w14:textFill>
              </w:rPr>
              <w:t>满足与学校现有能耗平台</w:t>
            </w:r>
            <w:r>
              <w:rPr>
                <w:rFonts w:hint="eastAsia" w:ascii="仿宋" w:hAnsi="仿宋" w:eastAsia="仿宋" w:cs="仿宋"/>
                <w:color w:val="000000" w:themeColor="text1"/>
                <w:kern w:val="0"/>
                <w:sz w:val="28"/>
                <w:szCs w:val="28"/>
                <w:lang w:eastAsia="zh-CN"/>
                <w14:textFill>
                  <w14:solidFill>
                    <w14:schemeClr w14:val="tx1"/>
                  </w14:solidFill>
                </w14:textFill>
              </w:rPr>
              <w:t>匹配多功能电力仪表</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7、出线回路电流互感器：BH-0.66 **/5A 0.2S级 变比与出线开关匹配</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8、主母线规格：TMY-4×80mm×8mm+1×50mm×5</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9、柜体（宽*深*高）：800</w:t>
            </w:r>
            <w:r>
              <w:rPr>
                <w:rFonts w:hint="eastAsia" w:ascii="仿宋" w:hAnsi="仿宋" w:eastAsia="仿宋" w:cs="仿宋"/>
                <w:color w:val="000000" w:themeColor="text1"/>
                <w:kern w:val="0"/>
                <w:sz w:val="28"/>
                <w:szCs w:val="28"/>
                <w:lang w:val="en-US" w:eastAsia="zh-CN"/>
                <w14:textFill>
                  <w14:solidFill>
                    <w14:schemeClr w14:val="tx1"/>
                  </w14:solidFill>
                </w14:textFill>
              </w:rPr>
              <w:t>mm</w:t>
            </w:r>
            <w:r>
              <w:rPr>
                <w:rFonts w:hint="eastAsia" w:ascii="仿宋" w:hAnsi="仿宋" w:eastAsia="仿宋" w:cs="仿宋"/>
                <w:color w:val="000000" w:themeColor="text1"/>
                <w:kern w:val="0"/>
                <w:sz w:val="28"/>
                <w:szCs w:val="28"/>
                <w14:textFill>
                  <w14:solidFill>
                    <w14:schemeClr w14:val="tx1"/>
                  </w14:solidFill>
                </w14:textFill>
              </w:rPr>
              <w:t>*600</w:t>
            </w:r>
            <w:r>
              <w:rPr>
                <w:rFonts w:hint="eastAsia" w:ascii="仿宋" w:hAnsi="仿宋" w:eastAsia="仿宋" w:cs="仿宋"/>
                <w:color w:val="000000" w:themeColor="text1"/>
                <w:kern w:val="0"/>
                <w:sz w:val="28"/>
                <w:szCs w:val="28"/>
                <w:lang w:val="en-US" w:eastAsia="zh-CN"/>
                <w14:textFill>
                  <w14:solidFill>
                    <w14:schemeClr w14:val="tx1"/>
                  </w14:solidFill>
                </w14:textFill>
              </w:rPr>
              <w:t>mm</w:t>
            </w:r>
            <w:r>
              <w:rPr>
                <w:rFonts w:hint="eastAsia" w:ascii="仿宋" w:hAnsi="仿宋" w:eastAsia="仿宋" w:cs="仿宋"/>
                <w:color w:val="000000" w:themeColor="text1"/>
                <w:kern w:val="0"/>
                <w:sz w:val="28"/>
                <w:szCs w:val="28"/>
                <w14:textFill>
                  <w14:solidFill>
                    <w14:schemeClr w14:val="tx1"/>
                  </w14:solidFill>
                </w14:textFill>
              </w:rPr>
              <w:t>*1950</w:t>
            </w:r>
            <w:r>
              <w:rPr>
                <w:rFonts w:hint="eastAsia" w:ascii="仿宋" w:hAnsi="仿宋" w:eastAsia="仿宋" w:cs="仿宋"/>
                <w:color w:val="000000" w:themeColor="text1"/>
                <w:kern w:val="0"/>
                <w:sz w:val="28"/>
                <w:szCs w:val="28"/>
                <w:lang w:val="en-US" w:eastAsia="zh-CN"/>
                <w14:textFill>
                  <w14:solidFill>
                    <w14:schemeClr w14:val="tx1"/>
                  </w14:solidFill>
                </w14:textFill>
              </w:rPr>
              <w:t>mm（±50mm）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widowControl/>
              <w:spacing w:line="276" w:lineRule="auto"/>
              <w:jc w:val="center"/>
              <w:rPr>
                <w:rFonts w:hint="eastAsia" w:ascii="仿宋" w:hAnsi="仿宋" w:eastAsia="仿宋" w:cs="仿宋"/>
                <w:color w:val="000000" w:themeColor="text1"/>
                <w:kern w:val="0"/>
                <w:sz w:val="28"/>
                <w:szCs w:val="28"/>
                <w14:textFill>
                  <w14:solidFill>
                    <w14:schemeClr w14:val="tx1"/>
                  </w14:solidFill>
                </w14:textFill>
              </w:rPr>
            </w:pPr>
          </w:p>
        </w:tc>
        <w:tc>
          <w:tcPr>
            <w:tcW w:w="851" w:type="dxa"/>
            <w:shd w:val="clear" w:color="auto" w:fill="auto"/>
            <w:vAlign w:val="center"/>
          </w:tcPr>
          <w:p>
            <w:pPr>
              <w:widowControl/>
              <w:spacing w:line="276" w:lineRule="auto"/>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8</w:t>
            </w:r>
          </w:p>
        </w:tc>
        <w:tc>
          <w:tcPr>
            <w:tcW w:w="7615" w:type="dxa"/>
            <w:shd w:val="clear" w:color="auto" w:fill="auto"/>
            <w:vAlign w:val="center"/>
          </w:tcPr>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低压出线开关柜：GGD  4AL06</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主要配置及参数：</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1、刀开关：HD13BX-1000/31 1只</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2、塑壳断路器：MCCB-400S/3300 250A 2只</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3、塑壳断路器：MCCB-400S/3300 200A 2只</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4、电流互感器 ：BH-0.66 1000/5A 3只</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5、液晶多功能电力仪表：具备电流、电压、电度、MODBUS485接口等功能多功能电力仪表</w:t>
            </w:r>
          </w:p>
          <w:p>
            <w:pPr>
              <w:widowControl/>
              <w:spacing w:line="276" w:lineRule="auto"/>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6、出线回路液晶多功能电力仪表：供应商</w:t>
            </w:r>
            <w:r>
              <w:rPr>
                <w:rFonts w:hint="eastAsia" w:ascii="仿宋" w:hAnsi="仿宋" w:eastAsia="仿宋" w:cs="仿宋"/>
                <w:color w:val="000000" w:themeColor="text1"/>
                <w:kern w:val="0"/>
                <w:sz w:val="28"/>
                <w:szCs w:val="28"/>
                <w:lang w:eastAsia="zh-CN"/>
                <w14:textFill>
                  <w14:solidFill>
                    <w14:schemeClr w14:val="tx1"/>
                  </w14:solidFill>
                </w14:textFill>
              </w:rPr>
              <w:t>提供</w:t>
            </w:r>
            <w:r>
              <w:rPr>
                <w:rFonts w:hint="eastAsia" w:ascii="仿宋" w:hAnsi="仿宋" w:eastAsia="仿宋" w:cs="仿宋"/>
                <w:color w:val="000000" w:themeColor="text1"/>
                <w:kern w:val="0"/>
                <w:sz w:val="28"/>
                <w:szCs w:val="28"/>
                <w:lang w:val="en-US" w:eastAsia="zh-CN"/>
                <w14:textFill>
                  <w14:solidFill>
                    <w14:schemeClr w14:val="tx1"/>
                  </w14:solidFill>
                </w14:textFill>
              </w:rPr>
              <w:t>4只</w:t>
            </w:r>
            <w:r>
              <w:rPr>
                <w:rFonts w:hint="eastAsia" w:ascii="仿宋" w:hAnsi="仿宋" w:eastAsia="仿宋" w:cs="仿宋"/>
                <w:color w:val="000000" w:themeColor="text1"/>
                <w:kern w:val="0"/>
                <w:sz w:val="28"/>
                <w:szCs w:val="28"/>
                <w14:textFill>
                  <w14:solidFill>
                    <w14:schemeClr w14:val="tx1"/>
                  </w14:solidFill>
                </w14:textFill>
              </w:rPr>
              <w:t>满足与学校现有能耗平台</w:t>
            </w:r>
            <w:r>
              <w:rPr>
                <w:rFonts w:hint="eastAsia" w:ascii="仿宋" w:hAnsi="仿宋" w:eastAsia="仿宋" w:cs="仿宋"/>
                <w:color w:val="000000" w:themeColor="text1"/>
                <w:kern w:val="0"/>
                <w:sz w:val="28"/>
                <w:szCs w:val="28"/>
                <w:lang w:eastAsia="zh-CN"/>
                <w14:textFill>
                  <w14:solidFill>
                    <w14:schemeClr w14:val="tx1"/>
                  </w14:solidFill>
                </w14:textFill>
              </w:rPr>
              <w:t>匹配多功能电力仪表</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7、出线回路电流互感器：BH-0.66 **/5A 0.2S级 变比与出线开关匹配</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8、主母线规格：TMY-4×80mm×8mm+1×50mm×5</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9、柜体（宽*深*高）：800</w:t>
            </w:r>
            <w:r>
              <w:rPr>
                <w:rFonts w:hint="eastAsia" w:ascii="仿宋" w:hAnsi="仿宋" w:eastAsia="仿宋" w:cs="仿宋"/>
                <w:color w:val="000000" w:themeColor="text1"/>
                <w:kern w:val="0"/>
                <w:sz w:val="28"/>
                <w:szCs w:val="28"/>
                <w:lang w:val="en-US" w:eastAsia="zh-CN"/>
                <w14:textFill>
                  <w14:solidFill>
                    <w14:schemeClr w14:val="tx1"/>
                  </w14:solidFill>
                </w14:textFill>
              </w:rPr>
              <w:t>mm</w:t>
            </w:r>
            <w:r>
              <w:rPr>
                <w:rFonts w:hint="eastAsia" w:ascii="仿宋" w:hAnsi="仿宋" w:eastAsia="仿宋" w:cs="仿宋"/>
                <w:color w:val="000000" w:themeColor="text1"/>
                <w:kern w:val="0"/>
                <w:sz w:val="28"/>
                <w:szCs w:val="28"/>
                <w14:textFill>
                  <w14:solidFill>
                    <w14:schemeClr w14:val="tx1"/>
                  </w14:solidFill>
                </w14:textFill>
              </w:rPr>
              <w:t>*600</w:t>
            </w:r>
            <w:r>
              <w:rPr>
                <w:rFonts w:hint="eastAsia" w:ascii="仿宋" w:hAnsi="仿宋" w:eastAsia="仿宋" w:cs="仿宋"/>
                <w:color w:val="000000" w:themeColor="text1"/>
                <w:kern w:val="0"/>
                <w:sz w:val="28"/>
                <w:szCs w:val="28"/>
                <w:lang w:val="en-US" w:eastAsia="zh-CN"/>
                <w14:textFill>
                  <w14:solidFill>
                    <w14:schemeClr w14:val="tx1"/>
                  </w14:solidFill>
                </w14:textFill>
              </w:rPr>
              <w:t>mm</w:t>
            </w:r>
            <w:r>
              <w:rPr>
                <w:rFonts w:hint="eastAsia" w:ascii="仿宋" w:hAnsi="仿宋" w:eastAsia="仿宋" w:cs="仿宋"/>
                <w:color w:val="000000" w:themeColor="text1"/>
                <w:kern w:val="0"/>
                <w:sz w:val="28"/>
                <w:szCs w:val="28"/>
                <w14:textFill>
                  <w14:solidFill>
                    <w14:schemeClr w14:val="tx1"/>
                  </w14:solidFill>
                </w14:textFill>
              </w:rPr>
              <w:t>*1950</w:t>
            </w:r>
            <w:r>
              <w:rPr>
                <w:rFonts w:hint="eastAsia" w:ascii="仿宋" w:hAnsi="仿宋" w:eastAsia="仿宋" w:cs="仿宋"/>
                <w:color w:val="000000" w:themeColor="text1"/>
                <w:kern w:val="0"/>
                <w:sz w:val="28"/>
                <w:szCs w:val="28"/>
                <w:lang w:val="en-US" w:eastAsia="zh-CN"/>
                <w14:textFill>
                  <w14:solidFill>
                    <w14:schemeClr w14:val="tx1"/>
                  </w14:solidFill>
                </w14:textFill>
              </w:rPr>
              <w:t>mm（±50mm）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widowControl/>
              <w:spacing w:line="276" w:lineRule="auto"/>
              <w:jc w:val="center"/>
              <w:rPr>
                <w:rFonts w:hint="eastAsia" w:ascii="仿宋" w:hAnsi="仿宋" w:eastAsia="仿宋" w:cs="仿宋"/>
                <w:color w:val="000000" w:themeColor="text1"/>
                <w:kern w:val="0"/>
                <w:sz w:val="28"/>
                <w:szCs w:val="28"/>
                <w14:textFill>
                  <w14:solidFill>
                    <w14:schemeClr w14:val="tx1"/>
                  </w14:solidFill>
                </w14:textFill>
              </w:rPr>
            </w:pPr>
          </w:p>
        </w:tc>
        <w:tc>
          <w:tcPr>
            <w:tcW w:w="851" w:type="dxa"/>
            <w:vAlign w:val="center"/>
          </w:tcPr>
          <w:p>
            <w:pPr>
              <w:widowControl/>
              <w:spacing w:line="276" w:lineRule="auto"/>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9</w:t>
            </w:r>
          </w:p>
        </w:tc>
        <w:tc>
          <w:tcPr>
            <w:tcW w:w="7615" w:type="dxa"/>
            <w:vAlign w:val="center"/>
          </w:tcPr>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主要技术要求：</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1、箱变为整体型箱壳，有足够的机械强度，在运输、安装中不发生变形。箱壳配有吊装装置，便于卸货、搬运和安装。。</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2、箱体设有足够的通风口和隔热措施，确保在正常环境下运行时，所有电器设备的温升不超过其最高允许值。</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3、箱体的所有门向外开，开启角度＞90°，并设有定位装置。所有的门均具有密封措施，并装有把手、暗闩，箱门装有外挂锁孔。箱体顶盖的倾斜度≥3°，并装设防雨檐。</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4</w:t>
            </w:r>
            <w:r>
              <w:rPr>
                <w:rFonts w:hint="eastAsia" w:ascii="仿宋" w:hAnsi="仿宋" w:eastAsia="仿宋" w:cs="仿宋"/>
                <w:color w:val="000000" w:themeColor="text1"/>
                <w:kern w:val="0"/>
                <w:sz w:val="28"/>
                <w:szCs w:val="28"/>
                <w14:textFill>
                  <w14:solidFill>
                    <w14:schemeClr w14:val="tx1"/>
                  </w14:solidFill>
                </w14:textFill>
              </w:rPr>
              <w:t>、外箱体内部元件及说明采用中文标识，箱体设置有醒目的安全标志。四周有“高压危险”的警示标志。</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5</w:t>
            </w:r>
            <w:r>
              <w:rPr>
                <w:rFonts w:hint="eastAsia" w:ascii="仿宋" w:hAnsi="仿宋" w:eastAsia="仿宋" w:cs="仿宋"/>
                <w:color w:val="000000" w:themeColor="text1"/>
                <w:kern w:val="0"/>
                <w:sz w:val="28"/>
                <w:szCs w:val="28"/>
                <w14:textFill>
                  <w14:solidFill>
                    <w14:schemeClr w14:val="tx1"/>
                  </w14:solidFill>
                </w14:textFill>
              </w:rPr>
              <w:t>、箱壳有防尘，防晒、防雨、防锈、防盗、防小动物进入等措施或装置</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6</w:t>
            </w:r>
            <w:r>
              <w:rPr>
                <w:rFonts w:hint="eastAsia" w:ascii="仿宋" w:hAnsi="仿宋" w:eastAsia="仿宋" w:cs="仿宋"/>
                <w:color w:val="000000" w:themeColor="text1"/>
                <w:kern w:val="0"/>
                <w:sz w:val="28"/>
                <w:szCs w:val="28"/>
                <w14:textFill>
                  <w14:solidFill>
                    <w14:schemeClr w14:val="tx1"/>
                  </w14:solidFill>
                </w14:textFill>
              </w:rPr>
              <w:t>、箱变高低压柜及低压出线、计量和补偿各个小室间必须完全独立分隔开；箱变内高低压带电体必须满足对地、相对相间的最小安全距离。</w:t>
            </w:r>
          </w:p>
          <w:p>
            <w:pPr>
              <w:widowControl/>
              <w:spacing w:line="276"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7</w:t>
            </w:r>
            <w:r>
              <w:rPr>
                <w:rFonts w:hint="eastAsia" w:ascii="仿宋" w:hAnsi="仿宋" w:eastAsia="仿宋" w:cs="仿宋"/>
                <w:color w:val="000000" w:themeColor="text1"/>
                <w:kern w:val="0"/>
                <w:sz w:val="28"/>
                <w:szCs w:val="28"/>
                <w14:textFill>
                  <w14:solidFill>
                    <w14:schemeClr w14:val="tx1"/>
                  </w14:solidFill>
                </w14:textFill>
              </w:rPr>
              <w:t>、壳材料应采用（彩钢板5cm厚，立柱采用冷轧钢板是3mm厚）或非金属材料，非金属材料应具有极强的抗暴晒、抗辐射及隔热性；具有极好的防冻、抗裂、防腐蚀特性；应具有极好的防潮阻燃性能，在骤冷骤热环境温度的变化下不会产生凝露；应具有全天候使用性能，可和周围环境协调，美观大方；应具有一定冲击强度。箱体金属框架均应有良好的接地，有接地端子，并标明接地符号，根据校园环境和要求，定点定位摆放，满足正常使用。</w:t>
            </w:r>
          </w:p>
        </w:tc>
      </w:tr>
    </w:tbl>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注：本项目采购的设备中涉及的优先采购节能产品有：箱式变压器；强制节能采购产品有：无；优先采购环境标志产品有：无。</w:t>
      </w:r>
    </w:p>
    <w:p>
      <w:pPr>
        <w:pStyle w:val="5"/>
        <w:pageBreakBefore w:val="0"/>
        <w:widowControl w:val="0"/>
        <w:numPr>
          <w:ilvl w:val="1"/>
          <w:numId w:val="0"/>
        </w:numPr>
        <w:tabs>
          <w:tab w:val="left" w:pos="0"/>
          <w:tab w:val="left" w:pos="426"/>
          <w:tab w:val="left" w:pos="576"/>
          <w:tab w:val="left" w:pos="786"/>
        </w:tabs>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bookmarkStart w:id="9" w:name="_Toc4765"/>
      <w:bookmarkStart w:id="10" w:name="_Toc22426"/>
      <w:r>
        <w:rPr>
          <w:rFonts w:hint="eastAsia" w:ascii="仿宋" w:hAnsi="仿宋" w:eastAsia="仿宋" w:cs="仿宋"/>
          <w:sz w:val="28"/>
          <w:szCs w:val="28"/>
          <w:lang w:eastAsia="zh-CN"/>
        </w:rPr>
        <w:t>五</w:t>
      </w:r>
      <w:r>
        <w:rPr>
          <w:rFonts w:hint="eastAsia" w:ascii="仿宋" w:hAnsi="仿宋" w:eastAsia="仿宋" w:cs="仿宋"/>
          <w:sz w:val="28"/>
          <w:szCs w:val="28"/>
        </w:rPr>
        <w:t>、</w:t>
      </w:r>
      <w:bookmarkEnd w:id="9"/>
      <w:r>
        <w:rPr>
          <w:rFonts w:hint="eastAsia" w:ascii="仿宋" w:hAnsi="仿宋" w:eastAsia="仿宋" w:cs="仿宋"/>
          <w:sz w:val="28"/>
          <w:szCs w:val="28"/>
          <w:lang w:val="en-US" w:eastAsia="zh-CN"/>
        </w:rPr>
        <w:t>商务要求</w:t>
      </w:r>
      <w:bookmarkEnd w:id="10"/>
    </w:p>
    <w:p>
      <w:pPr>
        <w:pStyle w:val="6"/>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sz w:val="28"/>
          <w:szCs w:val="28"/>
          <w:lang w:val="en-US" w:eastAsia="zh-CN"/>
        </w:rPr>
      </w:pPr>
      <w:bookmarkStart w:id="11" w:name="_Toc24850"/>
      <w:r>
        <w:rPr>
          <w:rFonts w:hint="eastAsia" w:ascii="仿宋" w:hAnsi="仿宋" w:eastAsia="仿宋" w:cs="仿宋"/>
          <w:b w:val="0"/>
          <w:sz w:val="28"/>
          <w:szCs w:val="28"/>
        </w:rPr>
        <w:t>（</w:t>
      </w:r>
      <w:r>
        <w:rPr>
          <w:rFonts w:hint="eastAsia" w:ascii="仿宋" w:hAnsi="仿宋" w:eastAsia="仿宋" w:cs="仿宋"/>
          <w:b w:val="0"/>
          <w:sz w:val="28"/>
          <w:szCs w:val="28"/>
          <w:lang w:val="en-US" w:eastAsia="zh-CN"/>
        </w:rPr>
        <w:t>一</w:t>
      </w:r>
      <w:r>
        <w:rPr>
          <w:rFonts w:hint="eastAsia" w:ascii="仿宋" w:hAnsi="仿宋" w:eastAsia="仿宋" w:cs="仿宋"/>
          <w:b w:val="0"/>
          <w:sz w:val="28"/>
          <w:szCs w:val="28"/>
        </w:rPr>
        <w:t>）</w:t>
      </w:r>
      <w:bookmarkEnd w:id="11"/>
      <w:r>
        <w:rPr>
          <w:rFonts w:hint="eastAsia" w:ascii="仿宋" w:hAnsi="仿宋" w:eastAsia="仿宋" w:cs="仿宋"/>
          <w:b w:val="0"/>
          <w:sz w:val="28"/>
          <w:szCs w:val="28"/>
        </w:rPr>
        <w:t>履约时间及地点</w:t>
      </w:r>
    </w:p>
    <w:p>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1.履约时间：自合同签订之日起60日。</w:t>
      </w:r>
    </w:p>
    <w:p>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2.履约地点：西华大学，采购人指定的地点。</w:t>
      </w:r>
    </w:p>
    <w:p>
      <w:pPr>
        <w:pStyle w:val="6"/>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sz w:val="28"/>
          <w:szCs w:val="28"/>
          <w:lang w:val="en-US" w:eastAsia="zh-CN"/>
        </w:rPr>
      </w:pPr>
      <w:bookmarkStart w:id="12" w:name="_Toc10004"/>
      <w:bookmarkStart w:id="13" w:name="_Toc6000"/>
      <w:r>
        <w:rPr>
          <w:rFonts w:hint="eastAsia" w:ascii="仿宋" w:hAnsi="仿宋" w:eastAsia="仿宋" w:cs="仿宋"/>
          <w:b w:val="0"/>
          <w:sz w:val="28"/>
          <w:szCs w:val="28"/>
        </w:rPr>
        <w:t>（</w:t>
      </w:r>
      <w:r>
        <w:rPr>
          <w:rFonts w:hint="eastAsia" w:ascii="仿宋" w:hAnsi="仿宋" w:eastAsia="仿宋" w:cs="仿宋"/>
          <w:b w:val="0"/>
          <w:sz w:val="28"/>
          <w:szCs w:val="28"/>
          <w:lang w:val="en-US" w:eastAsia="zh-CN"/>
        </w:rPr>
        <w:t>二</w:t>
      </w:r>
      <w:r>
        <w:rPr>
          <w:rFonts w:hint="eastAsia" w:ascii="仿宋" w:hAnsi="仿宋" w:eastAsia="仿宋" w:cs="仿宋"/>
          <w:b w:val="0"/>
          <w:sz w:val="28"/>
          <w:szCs w:val="28"/>
        </w:rPr>
        <w:t>）</w:t>
      </w:r>
      <w:bookmarkEnd w:id="12"/>
      <w:r>
        <w:rPr>
          <w:rFonts w:hint="eastAsia" w:ascii="仿宋" w:hAnsi="仿宋" w:eastAsia="仿宋" w:cs="仿宋"/>
          <w:b w:val="0"/>
          <w:sz w:val="28"/>
          <w:szCs w:val="28"/>
          <w:lang w:val="en-US" w:eastAsia="zh-CN"/>
        </w:rPr>
        <w:t>付款方式</w:t>
      </w:r>
      <w:bookmarkEnd w:id="13"/>
    </w:p>
    <w:p>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合同签订及生效后，采购人向中标人支付合同总金额的20%，中标人须提前向采购人出具对应金额的收据。中标人按照合同交付并完成安装调试，且验收合格后，且采购人收到中标人出具的合法有效的合同总金额增值税专用发票及凭证资料后 20日内，采购人向中标人支付合同总金额的 80%。中标人未及时向采购人提供发票及凭证资料的，采购人有权不付款且不视为采购人违约。</w:t>
      </w:r>
    </w:p>
    <w:p>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履约保证金</w:t>
      </w:r>
    </w:p>
    <w:p>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2.1中标人是否需要缴纳履约保证金：是。</w:t>
      </w:r>
    </w:p>
    <w:p>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2.2履约保证金缴纳比例：5%。</w:t>
      </w:r>
    </w:p>
    <w:p>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2.3缴纳方式：履约保证金可以以支票、汇票、本票或者金融机构、担保机构出具的保函等非现金形式提交（包括网银转账，电汇等方式）。</w:t>
      </w:r>
    </w:p>
    <w:p>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2.4缴纳说明：缴纳履约保证金后签订合同。</w:t>
      </w:r>
    </w:p>
    <w:p>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2.5</w:t>
      </w:r>
      <w:r>
        <w:rPr>
          <w:rFonts w:hint="eastAsia" w:ascii="仿宋" w:hAnsi="仿宋" w:eastAsia="仿宋" w:cs="仿宋"/>
          <w:sz w:val="28"/>
          <w:szCs w:val="28"/>
        </w:rPr>
        <w:t>在货物验收合格满1年后，向中标人无息退还履约保证金，中标人履约有违约的，履约保证金不予退还。</w:t>
      </w:r>
      <w:bookmarkStart w:id="14" w:name="_Toc26470"/>
      <w:bookmarkStart w:id="15" w:name="_Toc6454"/>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sz w:val="28"/>
          <w:szCs w:val="28"/>
        </w:rPr>
      </w:pPr>
      <w:r>
        <w:rPr>
          <w:rFonts w:hint="eastAsia" w:ascii="仿宋" w:hAnsi="仿宋" w:eastAsia="仿宋" w:cs="仿宋"/>
          <w:b w:val="0"/>
          <w:kern w:val="2"/>
          <w:sz w:val="28"/>
          <w:szCs w:val="28"/>
          <w:lang w:val="en-US" w:eastAsia="zh-CN" w:bidi="ar-SA"/>
        </w:rPr>
        <w:t>（三）</w:t>
      </w:r>
      <w:r>
        <w:rPr>
          <w:rFonts w:hint="eastAsia" w:ascii="仿宋" w:hAnsi="仿宋" w:eastAsia="仿宋" w:cs="仿宋"/>
          <w:b w:val="0"/>
          <w:sz w:val="28"/>
          <w:szCs w:val="28"/>
        </w:rPr>
        <w:t>验收交付标准和方法</w:t>
      </w:r>
      <w:r>
        <w:rPr>
          <w:rFonts w:hint="eastAsia" w:ascii="仿宋" w:hAnsi="仿宋" w:eastAsia="仿宋" w:cs="仿宋"/>
          <w:b w:val="0"/>
          <w:sz w:val="28"/>
          <w:szCs w:val="28"/>
          <w:lang w:eastAsia="zh-CN"/>
        </w:rPr>
        <w:t>：符合国家和行业最新现行相关施工及验收规范和标准，经验收合格</w:t>
      </w:r>
      <w:r>
        <w:rPr>
          <w:rFonts w:hint="eastAsia" w:ascii="仿宋" w:hAnsi="仿宋" w:eastAsia="仿宋" w:cs="仿宋"/>
          <w:b w:val="0"/>
          <w:sz w:val="28"/>
          <w:szCs w:val="28"/>
        </w:rPr>
        <w:t>。</w:t>
      </w:r>
      <w:bookmarkEnd w:id="14"/>
      <w:bookmarkEnd w:id="15"/>
      <w:bookmarkStart w:id="16" w:name="_Toc32672"/>
      <w:bookmarkStart w:id="17" w:name="_Toc3508"/>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sz w:val="28"/>
          <w:szCs w:val="28"/>
        </w:rPr>
      </w:pPr>
      <w:r>
        <w:rPr>
          <w:rFonts w:hint="eastAsia" w:ascii="仿宋" w:hAnsi="仿宋" w:eastAsia="仿宋" w:cs="仿宋"/>
          <w:b w:val="0"/>
          <w:kern w:val="2"/>
          <w:sz w:val="28"/>
          <w:szCs w:val="28"/>
          <w:lang w:val="en-US" w:eastAsia="zh-CN" w:bidi="ar-SA"/>
        </w:rPr>
        <w:t>（四）</w:t>
      </w:r>
      <w:r>
        <w:rPr>
          <w:rFonts w:hint="eastAsia" w:ascii="仿宋" w:hAnsi="仿宋" w:eastAsia="仿宋" w:cs="仿宋"/>
          <w:b w:val="0"/>
          <w:sz w:val="28"/>
          <w:szCs w:val="28"/>
        </w:rPr>
        <w:t>质保期：验收合格后2年</w:t>
      </w:r>
      <w:bookmarkEnd w:id="16"/>
      <w:bookmarkEnd w:id="17"/>
      <w:bookmarkStart w:id="18" w:name="_Toc18804"/>
      <w:bookmarkStart w:id="19" w:name="_Toc20444"/>
      <w:r>
        <w:rPr>
          <w:rFonts w:hint="eastAsia" w:ascii="仿宋" w:hAnsi="仿宋" w:eastAsia="仿宋" w:cs="仿宋"/>
          <w:b w:val="0"/>
          <w:sz w:val="28"/>
          <w:szCs w:val="28"/>
          <w:lang w:val="en-US" w:eastAsia="zh-CN"/>
        </w:rPr>
        <w:t xml:space="preserve">       </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sz w:val="28"/>
          <w:szCs w:val="28"/>
        </w:rPr>
      </w:pPr>
      <w:r>
        <w:rPr>
          <w:rFonts w:hint="eastAsia" w:ascii="仿宋" w:hAnsi="仿宋" w:eastAsia="仿宋" w:cs="仿宋"/>
          <w:b w:val="0"/>
          <w:sz w:val="28"/>
          <w:szCs w:val="28"/>
        </w:rPr>
        <w:t>（</w:t>
      </w:r>
      <w:r>
        <w:rPr>
          <w:rFonts w:hint="eastAsia" w:ascii="仿宋" w:hAnsi="仿宋" w:eastAsia="仿宋" w:cs="仿宋"/>
          <w:b w:val="0"/>
          <w:sz w:val="28"/>
          <w:szCs w:val="28"/>
          <w:lang w:val="en-US" w:eastAsia="zh-CN"/>
        </w:rPr>
        <w:t>五</w:t>
      </w:r>
      <w:r>
        <w:rPr>
          <w:rFonts w:hint="eastAsia" w:ascii="仿宋" w:hAnsi="仿宋" w:eastAsia="仿宋" w:cs="仿宋"/>
          <w:b w:val="0"/>
          <w:sz w:val="28"/>
          <w:szCs w:val="28"/>
        </w:rPr>
        <w:t>）履约验收方案</w:t>
      </w:r>
      <w:bookmarkEnd w:id="18"/>
      <w:bookmarkEnd w:id="19"/>
    </w:p>
    <w:p>
      <w:pPr>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 xml:space="preserve">1.验收组织方式：自行验收 </w:t>
      </w:r>
    </w:p>
    <w:p>
      <w:pPr>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2.是否邀请本项目的其他供应商：否</w:t>
      </w:r>
    </w:p>
    <w:p>
      <w:pPr>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3.是否邀请专家：否</w:t>
      </w:r>
    </w:p>
    <w:p>
      <w:pPr>
        <w:pStyle w:val="7"/>
        <w:numPr>
          <w:ilvl w:val="0"/>
          <w:numId w:val="0"/>
        </w:numPr>
        <w:spacing w:line="360" w:lineRule="auto"/>
        <w:outlineLvl w:val="3"/>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4.是否邀请服务对象：否</w:t>
      </w:r>
    </w:p>
    <w:p>
      <w:pPr>
        <w:pStyle w:val="7"/>
        <w:numPr>
          <w:ilvl w:val="0"/>
          <w:numId w:val="0"/>
        </w:numPr>
        <w:spacing w:line="360" w:lineRule="auto"/>
        <w:outlineLvl w:val="3"/>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5.是否邀请第三方检测机构：否</w:t>
      </w:r>
    </w:p>
    <w:p>
      <w:pPr>
        <w:pStyle w:val="7"/>
        <w:numPr>
          <w:ilvl w:val="0"/>
          <w:numId w:val="0"/>
        </w:numPr>
        <w:spacing w:line="360" w:lineRule="auto"/>
        <w:outlineLvl w:val="3"/>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 xml:space="preserve">6.履约验收程序：一次性验收   </w:t>
      </w:r>
    </w:p>
    <w:p>
      <w:pPr>
        <w:pStyle w:val="7"/>
        <w:numPr>
          <w:ilvl w:val="0"/>
          <w:numId w:val="0"/>
        </w:numPr>
        <w:spacing w:line="360" w:lineRule="auto"/>
        <w:outlineLvl w:val="3"/>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7.履约验收时间：供应商提出验收申请之日起3日内组织验收</w:t>
      </w:r>
    </w:p>
    <w:p>
      <w:pPr>
        <w:pStyle w:val="7"/>
        <w:numPr>
          <w:ilvl w:val="0"/>
          <w:numId w:val="0"/>
        </w:numPr>
        <w:spacing w:line="360" w:lineRule="auto"/>
        <w:outlineLvl w:val="3"/>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8.验收组织的其他事项：无</w:t>
      </w:r>
    </w:p>
    <w:p>
      <w:pPr>
        <w:pStyle w:val="7"/>
        <w:numPr>
          <w:ilvl w:val="0"/>
          <w:numId w:val="0"/>
        </w:numPr>
        <w:spacing w:line="360" w:lineRule="auto"/>
        <w:outlineLvl w:val="3"/>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9.技术履约验收内容：符合技术要求与标准</w:t>
      </w:r>
    </w:p>
    <w:p>
      <w:pPr>
        <w:pStyle w:val="7"/>
        <w:numPr>
          <w:ilvl w:val="0"/>
          <w:numId w:val="0"/>
        </w:numPr>
        <w:spacing w:line="360" w:lineRule="auto"/>
        <w:outlineLvl w:val="3"/>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10.商务履约验收内容：符合合同约定内容</w:t>
      </w:r>
    </w:p>
    <w:p>
      <w:pPr>
        <w:pStyle w:val="7"/>
        <w:numPr>
          <w:ilvl w:val="0"/>
          <w:numId w:val="0"/>
        </w:numPr>
        <w:spacing w:line="360" w:lineRule="auto"/>
        <w:outlineLvl w:val="3"/>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11.履约验收标准：符合合同约定内容</w:t>
      </w:r>
    </w:p>
    <w:p>
      <w:pPr>
        <w:pStyle w:val="7"/>
        <w:numPr>
          <w:ilvl w:val="0"/>
          <w:numId w:val="0"/>
        </w:numPr>
        <w:spacing w:line="360" w:lineRule="auto"/>
        <w:outlineLvl w:val="3"/>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12.履约验收其他事项：无</w:t>
      </w:r>
    </w:p>
    <w:p>
      <w:pPr>
        <w:pStyle w:val="5"/>
        <w:numPr>
          <w:ilvl w:val="1"/>
          <w:numId w:val="0"/>
        </w:numPr>
        <w:spacing w:line="360" w:lineRule="auto"/>
        <w:rPr>
          <w:rFonts w:hint="eastAsia" w:ascii="仿宋" w:hAnsi="仿宋" w:eastAsia="仿宋" w:cs="仿宋"/>
          <w:sz w:val="28"/>
          <w:szCs w:val="28"/>
          <w:lang w:val="en-US" w:eastAsia="zh-CN"/>
        </w:rPr>
      </w:pPr>
      <w:bookmarkStart w:id="20" w:name="_Toc30326"/>
      <w:bookmarkStart w:id="21" w:name="_Toc15470"/>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六</w:t>
      </w:r>
      <w:r>
        <w:rPr>
          <w:rFonts w:hint="eastAsia" w:ascii="仿宋" w:hAnsi="仿宋" w:eastAsia="仿宋" w:cs="仿宋"/>
          <w:sz w:val="28"/>
          <w:szCs w:val="28"/>
        </w:rPr>
        <w:t>、</w:t>
      </w:r>
      <w:r>
        <w:rPr>
          <w:rFonts w:hint="eastAsia" w:ascii="仿宋" w:hAnsi="仿宋" w:eastAsia="仿宋" w:cs="仿宋"/>
          <w:sz w:val="28"/>
          <w:szCs w:val="28"/>
          <w:lang w:val="en-US" w:eastAsia="zh-CN"/>
        </w:rPr>
        <w:t>其他要求（提供承诺函）</w:t>
      </w:r>
      <w:bookmarkEnd w:id="20"/>
    </w:p>
    <w:p>
      <w:pPr>
        <w:pStyle w:val="12"/>
        <w:tabs>
          <w:tab w:val="left" w:pos="1134"/>
        </w:tabs>
        <w:spacing w:line="360" w:lineRule="auto"/>
        <w:ind w:firstLine="548" w:firstLineChars="196"/>
        <w:rPr>
          <w:rFonts w:hint="eastAsia" w:ascii="仿宋" w:hAnsi="仿宋" w:eastAsia="仿宋" w:cs="仿宋"/>
          <w:b w:val="0"/>
          <w:bCs/>
          <w:sz w:val="28"/>
          <w:szCs w:val="28"/>
        </w:rPr>
      </w:pPr>
      <w:r>
        <w:rPr>
          <w:rFonts w:hint="eastAsia" w:ascii="仿宋" w:hAnsi="仿宋" w:eastAsia="仿宋" w:cs="仿宋"/>
          <w:b w:val="0"/>
          <w:bCs/>
          <w:sz w:val="28"/>
          <w:szCs w:val="28"/>
        </w:rPr>
        <w:t>（一）安全及相关要求。</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1、所有供货产品应符合国家现行的最新的生产标准、检验标准。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2、所有产品必须满足国家强制性认证要求，产品符合现行的相关制造规范、标准，技术指标及规格满足设计要求。</w:t>
      </w:r>
    </w:p>
    <w:p>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3、</w:t>
      </w:r>
      <w:r>
        <w:rPr>
          <w:rFonts w:hint="eastAsia" w:ascii="仿宋" w:hAnsi="仿宋" w:eastAsia="仿宋" w:cs="仿宋"/>
          <w:sz w:val="28"/>
          <w:szCs w:val="28"/>
          <w:lang w:val="zh-CN"/>
        </w:rPr>
        <w:t>现场施工所需的其他辅材须合格、安全、有效。</w:t>
      </w:r>
    </w:p>
    <w:p>
      <w:pPr>
        <w:pStyle w:val="12"/>
        <w:tabs>
          <w:tab w:val="left" w:pos="1134"/>
        </w:tabs>
        <w:spacing w:line="360" w:lineRule="auto"/>
        <w:ind w:firstLine="548" w:firstLineChars="196"/>
        <w:rPr>
          <w:rFonts w:hint="eastAsia" w:ascii="仿宋" w:hAnsi="仿宋" w:eastAsia="仿宋" w:cs="仿宋"/>
          <w:b w:val="0"/>
          <w:bCs/>
          <w:sz w:val="28"/>
          <w:szCs w:val="28"/>
        </w:rPr>
      </w:pP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二</w:t>
      </w:r>
      <w:r>
        <w:rPr>
          <w:rFonts w:hint="eastAsia" w:ascii="仿宋" w:hAnsi="仿宋" w:eastAsia="仿宋" w:cs="仿宋"/>
          <w:b w:val="0"/>
          <w:bCs/>
          <w:sz w:val="28"/>
          <w:szCs w:val="28"/>
        </w:rPr>
        <w:t>）安装调试及技术服务（含培训）要求。</w:t>
      </w:r>
    </w:p>
    <w:p>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1、所有设备均须由投标人送货上门并安装调试，含施工辅材、设备安装、调试等，采购人不再额外支付任何费用。</w:t>
      </w:r>
    </w:p>
    <w:p>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2、设备的固定安装符合施工要求，安装美观，整体走线符合施工工艺要求，如安装位置是填充材料，须进行加固处理。</w:t>
      </w:r>
    </w:p>
    <w:p>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3、线材管材、设备间连接线、转接头、电源插座板等均采用经质检合格的产品。</w:t>
      </w:r>
    </w:p>
    <w:p>
      <w:pPr>
        <w:pStyle w:val="12"/>
        <w:tabs>
          <w:tab w:val="left" w:pos="1134"/>
        </w:tabs>
        <w:spacing w:line="360" w:lineRule="auto"/>
        <w:ind w:firstLine="548" w:firstLineChars="196"/>
        <w:rPr>
          <w:rFonts w:hint="eastAsia" w:ascii="仿宋" w:hAnsi="仿宋" w:eastAsia="仿宋" w:cs="仿宋"/>
          <w:b w:val="0"/>
          <w:bCs/>
          <w:sz w:val="28"/>
          <w:szCs w:val="28"/>
        </w:rPr>
      </w:pP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三</w:t>
      </w:r>
      <w:r>
        <w:rPr>
          <w:rFonts w:hint="eastAsia" w:ascii="仿宋" w:hAnsi="仿宋" w:eastAsia="仿宋" w:cs="仿宋"/>
          <w:b w:val="0"/>
          <w:bCs/>
          <w:sz w:val="28"/>
          <w:szCs w:val="28"/>
        </w:rPr>
        <w:t>）服务标准及质量要求。</w:t>
      </w:r>
    </w:p>
    <w:p>
      <w:pPr>
        <w:spacing w:line="360" w:lineRule="auto"/>
        <w:ind w:firstLine="560" w:firstLineChars="200"/>
        <w:rPr>
          <w:rFonts w:hint="eastAsia" w:ascii="仿宋" w:hAnsi="仿宋" w:eastAsia="仿宋" w:cs="仿宋"/>
          <w:bCs/>
          <w:sz w:val="28"/>
          <w:szCs w:val="28"/>
          <w:lang w:val="zh-CN"/>
        </w:rPr>
      </w:pPr>
      <w:r>
        <w:rPr>
          <w:rFonts w:hint="eastAsia" w:ascii="仿宋" w:hAnsi="仿宋" w:eastAsia="仿宋" w:cs="仿宋"/>
          <w:bCs/>
          <w:sz w:val="28"/>
          <w:szCs w:val="28"/>
        </w:rPr>
        <w:t>1、投标人</w:t>
      </w:r>
      <w:r>
        <w:rPr>
          <w:rFonts w:hint="eastAsia" w:ascii="仿宋" w:hAnsi="仿宋" w:eastAsia="仿宋" w:cs="仿宋"/>
          <w:bCs/>
          <w:sz w:val="28"/>
          <w:szCs w:val="28"/>
          <w:lang w:val="zh-CN"/>
        </w:rPr>
        <w:t>供货的货物应为全新的未开封产品，满足本次招标货物的技术要求；</w:t>
      </w:r>
    </w:p>
    <w:p>
      <w:pPr>
        <w:spacing w:line="360" w:lineRule="auto"/>
        <w:ind w:firstLine="560" w:firstLineChars="200"/>
        <w:rPr>
          <w:rFonts w:hint="eastAsia" w:ascii="仿宋" w:hAnsi="仿宋" w:eastAsia="仿宋" w:cs="仿宋"/>
          <w:bCs/>
          <w:sz w:val="28"/>
          <w:szCs w:val="28"/>
          <w:lang w:val="zh-CN"/>
        </w:rPr>
      </w:pPr>
      <w:r>
        <w:rPr>
          <w:rFonts w:hint="eastAsia" w:ascii="仿宋" w:hAnsi="仿宋" w:eastAsia="仿宋" w:cs="仿宋"/>
          <w:bCs/>
          <w:sz w:val="28"/>
          <w:szCs w:val="28"/>
        </w:rPr>
        <w:t>2</w:t>
      </w:r>
      <w:r>
        <w:rPr>
          <w:rFonts w:hint="eastAsia" w:ascii="仿宋" w:hAnsi="仿宋" w:eastAsia="仿宋" w:cs="仿宋"/>
          <w:bCs/>
          <w:sz w:val="28"/>
          <w:szCs w:val="28"/>
          <w:lang w:val="zh-CN"/>
        </w:rPr>
        <w:t>、投标人须提供全新的货物（含零部件 、配件等），</w:t>
      </w:r>
      <w:r>
        <w:rPr>
          <w:rFonts w:hint="eastAsia" w:ascii="仿宋" w:hAnsi="仿宋" w:eastAsia="仿宋" w:cs="仿宋"/>
          <w:bCs/>
          <w:sz w:val="28"/>
          <w:szCs w:val="28"/>
        </w:rPr>
        <w:t>货物</w:t>
      </w:r>
      <w:r>
        <w:rPr>
          <w:rFonts w:hint="eastAsia" w:ascii="仿宋" w:hAnsi="仿宋" w:eastAsia="仿宋" w:cs="仿宋"/>
          <w:bCs/>
          <w:sz w:val="28"/>
          <w:szCs w:val="28"/>
          <w:lang w:val="zh-CN"/>
        </w:rPr>
        <w:t>在送到使用单位之前表面无划伤、</w:t>
      </w:r>
      <w:r>
        <w:rPr>
          <w:rFonts w:hint="eastAsia" w:ascii="仿宋" w:hAnsi="仿宋" w:eastAsia="仿宋" w:cs="仿宋"/>
          <w:bCs/>
          <w:sz w:val="28"/>
          <w:szCs w:val="28"/>
        </w:rPr>
        <w:t>无</w:t>
      </w:r>
      <w:r>
        <w:rPr>
          <w:rFonts w:hint="eastAsia" w:ascii="仿宋" w:hAnsi="仿宋" w:eastAsia="仿宋" w:cs="仿宋"/>
          <w:bCs/>
          <w:sz w:val="28"/>
          <w:szCs w:val="28"/>
          <w:lang w:val="zh-CN"/>
        </w:rPr>
        <w:t>碰撞等现象，并且安装调试后能正常使用；</w:t>
      </w:r>
    </w:p>
    <w:p>
      <w:pPr>
        <w:spacing w:line="360" w:lineRule="auto"/>
        <w:ind w:firstLine="560" w:firstLineChars="200"/>
        <w:rPr>
          <w:rFonts w:hint="eastAsia" w:ascii="仿宋" w:hAnsi="仿宋" w:eastAsia="仿宋" w:cs="仿宋"/>
          <w:bCs/>
          <w:sz w:val="28"/>
          <w:szCs w:val="28"/>
          <w:lang w:val="zh-CN"/>
        </w:rPr>
      </w:pPr>
      <w:r>
        <w:rPr>
          <w:rFonts w:hint="eastAsia" w:ascii="仿宋" w:hAnsi="仿宋" w:eastAsia="仿宋" w:cs="仿宋"/>
          <w:bCs/>
          <w:sz w:val="28"/>
          <w:szCs w:val="28"/>
        </w:rPr>
        <w:t>3</w:t>
      </w:r>
      <w:r>
        <w:rPr>
          <w:rFonts w:hint="eastAsia" w:ascii="仿宋" w:hAnsi="仿宋" w:eastAsia="仿宋" w:cs="仿宋"/>
          <w:bCs/>
          <w:sz w:val="28"/>
          <w:szCs w:val="28"/>
          <w:lang w:val="zh-CN"/>
        </w:rPr>
        <w:t>、投标人货到现场用户不负责提供货物仓储地，由投标人负责货物保管工作，货到现场但未安装完全交付前造成的遗失、损坏等问题，由投标人承担；</w:t>
      </w:r>
    </w:p>
    <w:p>
      <w:pPr>
        <w:spacing w:line="360" w:lineRule="auto"/>
        <w:ind w:firstLine="560" w:firstLineChars="200"/>
        <w:rPr>
          <w:rFonts w:hint="eastAsia" w:ascii="仿宋" w:hAnsi="仿宋" w:eastAsia="仿宋" w:cs="仿宋"/>
          <w:bCs/>
          <w:sz w:val="28"/>
          <w:szCs w:val="28"/>
          <w:lang w:val="zh-CN"/>
        </w:rPr>
      </w:pPr>
      <w:r>
        <w:rPr>
          <w:rFonts w:hint="eastAsia" w:ascii="仿宋" w:hAnsi="仿宋" w:eastAsia="仿宋" w:cs="仿宋"/>
          <w:bCs/>
          <w:sz w:val="28"/>
          <w:szCs w:val="28"/>
        </w:rPr>
        <w:t>4</w:t>
      </w:r>
      <w:r>
        <w:rPr>
          <w:rFonts w:hint="eastAsia" w:ascii="仿宋" w:hAnsi="仿宋" w:eastAsia="仿宋" w:cs="仿宋"/>
          <w:bCs/>
          <w:sz w:val="28"/>
          <w:szCs w:val="28"/>
          <w:lang w:val="zh-CN"/>
        </w:rPr>
        <w:t>、若遇配货包装、运输过程中造成的短缺、差错、丢失、损坏等，投标人无条件调换、补缺；</w:t>
      </w:r>
    </w:p>
    <w:p>
      <w:pPr>
        <w:spacing w:line="360" w:lineRule="auto"/>
        <w:ind w:firstLine="560" w:firstLineChars="200"/>
        <w:rPr>
          <w:rFonts w:hint="eastAsia" w:ascii="仿宋" w:hAnsi="仿宋" w:eastAsia="仿宋" w:cs="仿宋"/>
          <w:bCs/>
          <w:sz w:val="28"/>
          <w:szCs w:val="28"/>
          <w:lang w:val="zh-CN"/>
        </w:rPr>
      </w:pPr>
      <w:r>
        <w:rPr>
          <w:rFonts w:hint="eastAsia" w:ascii="仿宋" w:hAnsi="仿宋" w:eastAsia="仿宋" w:cs="仿宋"/>
          <w:bCs/>
          <w:sz w:val="28"/>
          <w:szCs w:val="28"/>
        </w:rPr>
        <w:t>5、投标人</w:t>
      </w:r>
      <w:r>
        <w:rPr>
          <w:rFonts w:hint="eastAsia" w:ascii="仿宋" w:hAnsi="仿宋" w:eastAsia="仿宋" w:cs="仿宋"/>
          <w:bCs/>
          <w:sz w:val="28"/>
          <w:szCs w:val="28"/>
          <w:lang w:val="zh-CN"/>
        </w:rPr>
        <w:t>按订货的品种、数量配货，送货到采购人指定</w:t>
      </w:r>
      <w:r>
        <w:rPr>
          <w:rFonts w:hint="eastAsia" w:ascii="仿宋" w:hAnsi="仿宋" w:eastAsia="仿宋" w:cs="仿宋"/>
          <w:bCs/>
          <w:sz w:val="28"/>
          <w:szCs w:val="28"/>
        </w:rPr>
        <w:t>地点</w:t>
      </w:r>
      <w:r>
        <w:rPr>
          <w:rFonts w:hint="eastAsia" w:ascii="仿宋" w:hAnsi="仿宋" w:eastAsia="仿宋" w:cs="仿宋"/>
          <w:bCs/>
          <w:sz w:val="28"/>
          <w:szCs w:val="28"/>
          <w:lang w:val="zh-CN"/>
        </w:rPr>
        <w:t>，并附详细的发货清单和签收单，以便验货核对。</w:t>
      </w:r>
    </w:p>
    <w:p>
      <w:pPr>
        <w:pStyle w:val="5"/>
        <w:numPr>
          <w:ilvl w:val="1"/>
          <w:numId w:val="0"/>
        </w:numPr>
        <w:spacing w:line="360" w:lineRule="auto"/>
        <w:rPr>
          <w:rFonts w:hint="eastAsia" w:ascii="仿宋" w:hAnsi="仿宋" w:eastAsia="仿宋" w:cs="仿宋"/>
          <w:sz w:val="28"/>
          <w:szCs w:val="28"/>
          <w:lang w:val="en-US" w:eastAsia="zh-CN"/>
        </w:rPr>
      </w:pPr>
      <w:bookmarkStart w:id="22" w:name="_Toc2780"/>
      <w:r>
        <w:rPr>
          <w:rFonts w:hint="eastAsia" w:ascii="仿宋" w:hAnsi="仿宋" w:eastAsia="仿宋" w:cs="仿宋"/>
          <w:color w:val="auto"/>
          <w:sz w:val="28"/>
          <w:szCs w:val="28"/>
          <w:highlight w:val="none"/>
        </w:rPr>
        <w:t>★</w:t>
      </w:r>
      <w:r>
        <w:rPr>
          <w:rFonts w:hint="eastAsia" w:ascii="仿宋" w:hAnsi="仿宋" w:eastAsia="仿宋" w:cs="仿宋"/>
          <w:sz w:val="28"/>
          <w:szCs w:val="28"/>
          <w:lang w:val="en-US" w:eastAsia="zh-CN"/>
        </w:rPr>
        <w:t>六</w:t>
      </w:r>
      <w:r>
        <w:rPr>
          <w:rFonts w:hint="eastAsia" w:ascii="仿宋" w:hAnsi="仿宋" w:eastAsia="仿宋" w:cs="仿宋"/>
          <w:sz w:val="28"/>
          <w:szCs w:val="28"/>
        </w:rPr>
        <w:t>、</w:t>
      </w:r>
      <w:r>
        <w:rPr>
          <w:rFonts w:hint="eastAsia" w:ascii="仿宋" w:hAnsi="仿宋" w:eastAsia="仿宋" w:cs="仿宋"/>
          <w:sz w:val="28"/>
          <w:szCs w:val="28"/>
          <w:lang w:val="en-US" w:eastAsia="zh-CN"/>
        </w:rPr>
        <w:t>分包要求</w:t>
      </w:r>
      <w:bookmarkEnd w:id="21"/>
      <w:bookmarkEnd w:id="22"/>
    </w:p>
    <w:p>
      <w:pPr>
        <w:spacing w:line="360" w:lineRule="auto"/>
        <w:ind w:firstLine="560" w:firstLineChars="200"/>
        <w:rPr>
          <w:rFonts w:hint="eastAsia" w:ascii="仿宋" w:hAnsi="仿宋" w:eastAsia="仿宋" w:cs="仿宋"/>
          <w:sz w:val="28"/>
          <w:szCs w:val="28"/>
          <w:vertAlign w:val="baseline"/>
          <w:lang w:val="zh-CN" w:eastAsia="zh-CN"/>
        </w:rPr>
      </w:pPr>
      <w:r>
        <w:rPr>
          <w:rFonts w:hint="eastAsia" w:ascii="仿宋" w:hAnsi="仿宋" w:eastAsia="仿宋" w:cs="仿宋"/>
          <w:sz w:val="28"/>
          <w:szCs w:val="28"/>
        </w:rPr>
        <w:t>以下服务内容若中标人不具备其资质条件</w:t>
      </w:r>
      <w:r>
        <w:rPr>
          <w:rFonts w:hint="eastAsia" w:ascii="仿宋" w:hAnsi="仿宋" w:eastAsia="仿宋" w:cs="仿宋"/>
          <w:sz w:val="28"/>
          <w:szCs w:val="28"/>
          <w:lang w:val="en-US" w:eastAsia="zh-CN"/>
        </w:rPr>
        <w:t>的</w:t>
      </w:r>
      <w:r>
        <w:rPr>
          <w:rFonts w:hint="eastAsia" w:ascii="仿宋" w:hAnsi="仿宋" w:eastAsia="仿宋" w:cs="仿宋"/>
          <w:sz w:val="28"/>
          <w:szCs w:val="28"/>
        </w:rPr>
        <w:t>可以分包至有资质条件专业单位完成。除此之外，项目其他服务内容不允许进行分包。</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说明：提供分包单位名称及相关资质证书复印件加盖公章。</w:t>
      </w:r>
      <w:r>
        <w:rPr>
          <w:rFonts w:hint="eastAsia" w:ascii="仿宋" w:hAnsi="仿宋" w:eastAsia="仿宋" w:cs="仿宋"/>
          <w:b/>
          <w:bCs/>
          <w:sz w:val="28"/>
          <w:szCs w:val="28"/>
          <w:lang w:eastAsia="zh-CN"/>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1393"/>
        <w:gridCol w:w="942"/>
        <w:gridCol w:w="4283"/>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noWrap w:val="0"/>
            <w:vAlign w:val="center"/>
          </w:tcPr>
          <w:p>
            <w:pPr>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393" w:type="dxa"/>
            <w:noWrap w:val="0"/>
            <w:vAlign w:val="center"/>
          </w:tcPr>
          <w:p>
            <w:pPr>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分包内容</w:t>
            </w:r>
          </w:p>
        </w:tc>
        <w:tc>
          <w:tcPr>
            <w:tcW w:w="942" w:type="dxa"/>
            <w:noWrap w:val="0"/>
            <w:vAlign w:val="center"/>
          </w:tcPr>
          <w:p>
            <w:pPr>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分包金额</w:t>
            </w:r>
          </w:p>
        </w:tc>
        <w:tc>
          <w:tcPr>
            <w:tcW w:w="4283" w:type="dxa"/>
            <w:noWrap w:val="0"/>
            <w:vAlign w:val="center"/>
          </w:tcPr>
          <w:p>
            <w:pPr>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资质要求</w:t>
            </w:r>
          </w:p>
        </w:tc>
        <w:tc>
          <w:tcPr>
            <w:tcW w:w="1312" w:type="dxa"/>
            <w:noWrap w:val="0"/>
            <w:vAlign w:val="center"/>
          </w:tcPr>
          <w:p>
            <w:pPr>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noWrap w:val="0"/>
            <w:vAlign w:val="center"/>
          </w:tcPr>
          <w:p>
            <w:pPr>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393" w:type="dxa"/>
            <w:noWrap w:val="0"/>
            <w:vAlign w:val="center"/>
          </w:tcPr>
          <w:p>
            <w:pPr>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电气试验，拆除旧箱式变电站，安装新箱式变电站，及其他相关内容</w:t>
            </w:r>
          </w:p>
        </w:tc>
        <w:tc>
          <w:tcPr>
            <w:tcW w:w="942" w:type="dxa"/>
            <w:noWrap w:val="0"/>
            <w:vAlign w:val="center"/>
          </w:tcPr>
          <w:p>
            <w:pPr>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不高于6.3万元</w:t>
            </w:r>
          </w:p>
        </w:tc>
        <w:tc>
          <w:tcPr>
            <w:tcW w:w="4283" w:type="dxa"/>
            <w:noWrap w:val="0"/>
            <w:vAlign w:val="center"/>
          </w:tcPr>
          <w:p>
            <w:pPr>
              <w:spacing w:line="360" w:lineRule="auto"/>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分包实施单位应具备行政主管部门颁发的电力工程施工总承包三级及以上或输变电工程专业承包三级及以上资质同时具备电力监管部门颁发的承装（修、试）电力设施许可证（承装、承修、承试）四级及以上资质；具备有效的安全生产许可证；企业注册地不在四川省行政区域内的外地企业，需提供有效的《四川省省外建筑企业入川承揽业务验证登记证》或带二维码的《四川省省外施工、监理企业入川承揽业务信息录入证》</w:t>
            </w:r>
          </w:p>
        </w:tc>
        <w:tc>
          <w:tcPr>
            <w:tcW w:w="1312" w:type="dxa"/>
            <w:noWrap w:val="0"/>
            <w:vAlign w:val="center"/>
          </w:tcPr>
          <w:p>
            <w:pPr>
              <w:spacing w:line="360" w:lineRule="auto"/>
              <w:jc w:val="center"/>
              <w:rPr>
                <w:rFonts w:hint="eastAsia" w:ascii="仿宋" w:hAnsi="仿宋" w:eastAsia="仿宋" w:cs="仿宋"/>
                <w:sz w:val="28"/>
                <w:szCs w:val="28"/>
                <w:vertAlign w:val="baseline"/>
                <w:lang w:val="zh-CN"/>
              </w:rPr>
            </w:pPr>
            <w:r>
              <w:rPr>
                <w:rFonts w:hint="eastAsia" w:ascii="仿宋" w:hAnsi="仿宋" w:eastAsia="仿宋" w:cs="仿宋"/>
                <w:sz w:val="28"/>
                <w:szCs w:val="28"/>
                <w:vertAlign w:val="baseline"/>
                <w:lang w:val="zh-CN"/>
              </w:rPr>
              <w:t>按照法律法规以及行业规定的要求进行</w:t>
            </w:r>
          </w:p>
        </w:tc>
      </w:tr>
    </w:tbl>
    <w:p>
      <w:pPr>
        <w:pStyle w:val="5"/>
        <w:numPr>
          <w:ilvl w:val="1"/>
          <w:numId w:val="0"/>
        </w:numPr>
        <w:tabs>
          <w:tab w:val="left" w:pos="0"/>
          <w:tab w:val="left" w:pos="426"/>
          <w:tab w:val="left" w:pos="576"/>
          <w:tab w:val="left" w:pos="786"/>
        </w:tabs>
        <w:spacing w:line="360" w:lineRule="auto"/>
        <w:jc w:val="both"/>
        <w:rPr>
          <w:rFonts w:hint="eastAsia" w:ascii="仿宋" w:hAnsi="仿宋" w:eastAsia="仿宋" w:cs="仿宋"/>
          <w:sz w:val="28"/>
          <w:szCs w:val="28"/>
        </w:rPr>
      </w:pPr>
      <w:bookmarkStart w:id="23" w:name="_Toc1752"/>
      <w:r>
        <w:rPr>
          <w:rFonts w:hint="eastAsia" w:ascii="仿宋" w:hAnsi="仿宋" w:eastAsia="仿宋" w:cs="仿宋"/>
          <w:b/>
          <w:sz w:val="28"/>
          <w:szCs w:val="28"/>
          <w:lang w:val="en-US" w:eastAsia="zh-CN"/>
        </w:rPr>
        <w:t>七、</w:t>
      </w:r>
      <w:r>
        <w:rPr>
          <w:rFonts w:hint="eastAsia" w:ascii="仿宋" w:hAnsi="仿宋" w:eastAsia="仿宋" w:cs="仿宋"/>
          <w:sz w:val="28"/>
          <w:szCs w:val="28"/>
        </w:rPr>
        <w:t>强制性产品认证及包装要求</w:t>
      </w:r>
      <w:bookmarkEnd w:id="23"/>
    </w:p>
    <w:p>
      <w:pPr>
        <w:pStyle w:val="12"/>
        <w:tabs>
          <w:tab w:val="left" w:pos="1134"/>
        </w:tabs>
        <w:spacing w:line="360" w:lineRule="auto"/>
        <w:ind w:firstLine="551" w:firstLineChars="196"/>
        <w:rPr>
          <w:rFonts w:hint="eastAsia" w:ascii="仿宋" w:hAnsi="仿宋" w:eastAsia="仿宋" w:cs="仿宋"/>
          <w:sz w:val="28"/>
          <w:szCs w:val="28"/>
        </w:rPr>
      </w:pP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一</w:t>
      </w:r>
      <w:r>
        <w:rPr>
          <w:rFonts w:hint="eastAsia" w:ascii="仿宋" w:hAnsi="仿宋" w:eastAsia="仿宋" w:cs="仿宋"/>
          <w:b/>
          <w:sz w:val="28"/>
          <w:szCs w:val="28"/>
          <w:lang w:eastAsia="zh-CN"/>
        </w:rPr>
        <w:t>）</w:t>
      </w:r>
      <w:r>
        <w:rPr>
          <w:rFonts w:hint="eastAsia" w:ascii="仿宋" w:hAnsi="仿宋" w:eastAsia="仿宋" w:cs="仿宋"/>
          <w:b/>
          <w:sz w:val="28"/>
          <w:szCs w:val="28"/>
          <w:lang w:val="zh-CN"/>
        </w:rPr>
        <w:t>★</w:t>
      </w:r>
      <w:r>
        <w:rPr>
          <w:rFonts w:hint="eastAsia" w:ascii="仿宋" w:hAnsi="仿宋" w:eastAsia="仿宋" w:cs="仿宋"/>
          <w:sz w:val="28"/>
          <w:szCs w:val="28"/>
        </w:rPr>
        <w:t>投标人所投产品涉及国家强制认证的（CCC）或前置许可认证的，在投标文件中提供符合国家强制认证（CCC）或前置许可、认证的承诺函件，在供货时一并提供相关许可、认证材料。（提供承诺函原件加盖供应商公章）。</w:t>
      </w:r>
    </w:p>
    <w:p>
      <w:pPr>
        <w:pStyle w:val="12"/>
        <w:tabs>
          <w:tab w:val="left" w:pos="1134"/>
        </w:tabs>
        <w:spacing w:line="360" w:lineRule="auto"/>
        <w:ind w:firstLine="548" w:firstLineChars="196"/>
        <w:rPr>
          <w:rFonts w:hint="eastAsia" w:ascii="仿宋" w:hAnsi="仿宋" w:eastAsia="仿宋" w:cs="仿宋"/>
          <w:sz w:val="28"/>
          <w:szCs w:val="28"/>
          <w:lang w:eastAsia="zh-CN"/>
        </w:rPr>
      </w:pPr>
      <w:r>
        <w:rPr>
          <w:rFonts w:hint="eastAsia" w:ascii="仿宋" w:hAnsi="仿宋" w:eastAsia="仿宋" w:cs="仿宋"/>
          <w:sz w:val="28"/>
          <w:szCs w:val="28"/>
          <w:lang w:eastAsia="zh-CN"/>
        </w:rPr>
        <w:t>（二）</w:t>
      </w:r>
      <w:r>
        <w:rPr>
          <w:rFonts w:hint="eastAsia" w:ascii="仿宋" w:hAnsi="仿宋" w:eastAsia="仿宋" w:cs="仿宋"/>
          <w:b/>
          <w:sz w:val="28"/>
          <w:szCs w:val="28"/>
          <w:lang w:val="zh-CN"/>
        </w:rPr>
        <w:t>★</w:t>
      </w:r>
      <w:r>
        <w:rPr>
          <w:rFonts w:hint="eastAsia" w:ascii="仿宋" w:hAnsi="仿宋" w:eastAsia="仿宋" w:cs="仿宋"/>
          <w:sz w:val="28"/>
          <w:szCs w:val="28"/>
          <w:lang w:eastAsia="zh-CN"/>
        </w:rPr>
        <w:t>按照《关于印发&lt;商品包装政府采购需求标准（试行）&gt;、&lt;快递包装政府采购需求标准（试行）&gt;的通知》(财办库〔2020〕123号)要求，投标人提供的产品包装和快递包装需符合《商品包装政府采购需求标准（试行）》、《快递包装政府采购需求标准（试行）》相关要求。（提供承诺函原件加盖投标人公章）。</w:t>
      </w:r>
    </w:p>
    <w:p>
      <w:pPr>
        <w:pStyle w:val="5"/>
        <w:numPr>
          <w:ilvl w:val="1"/>
          <w:numId w:val="0"/>
        </w:numPr>
        <w:tabs>
          <w:tab w:val="left" w:pos="0"/>
          <w:tab w:val="left" w:pos="426"/>
          <w:tab w:val="left" w:pos="576"/>
          <w:tab w:val="left" w:pos="786"/>
        </w:tabs>
        <w:spacing w:line="360" w:lineRule="auto"/>
        <w:jc w:val="both"/>
        <w:rPr>
          <w:rFonts w:hint="eastAsia" w:ascii="仿宋" w:hAnsi="仿宋" w:eastAsia="仿宋" w:cs="仿宋"/>
          <w:sz w:val="28"/>
          <w:szCs w:val="28"/>
          <w:lang w:val="en-US" w:eastAsia="zh-CN"/>
        </w:rPr>
      </w:pPr>
      <w:r>
        <w:rPr>
          <w:rFonts w:hint="eastAsia" w:ascii="仿宋" w:hAnsi="仿宋" w:eastAsia="仿宋" w:cs="仿宋"/>
          <w:b/>
          <w:sz w:val="28"/>
          <w:szCs w:val="28"/>
          <w:lang w:val="en-US" w:eastAsia="zh-CN"/>
        </w:rPr>
        <w:t>八、</w:t>
      </w:r>
      <w:r>
        <w:rPr>
          <w:rFonts w:hint="eastAsia" w:ascii="仿宋" w:hAnsi="仿宋" w:eastAsia="仿宋" w:cs="仿宋"/>
          <w:sz w:val="28"/>
          <w:szCs w:val="28"/>
          <w:lang w:val="en-US" w:eastAsia="zh-CN"/>
        </w:rPr>
        <w:t>履约要求</w:t>
      </w:r>
    </w:p>
    <w:p>
      <w:pPr>
        <w:pStyle w:val="12"/>
        <w:tabs>
          <w:tab w:val="left" w:pos="1134"/>
        </w:tabs>
        <w:spacing w:line="360" w:lineRule="auto"/>
        <w:ind w:firstLine="548" w:firstLineChars="196"/>
        <w:rPr>
          <w:rFonts w:hint="eastAsia" w:ascii="仿宋" w:hAnsi="仿宋" w:eastAsia="仿宋" w:cs="仿宋"/>
          <w:b w:val="0"/>
          <w:bCs/>
          <w:sz w:val="28"/>
          <w:szCs w:val="28"/>
        </w:rPr>
      </w:pPr>
      <w:r>
        <w:rPr>
          <w:rFonts w:hint="eastAsia" w:ascii="仿宋" w:hAnsi="仿宋" w:eastAsia="仿宋" w:cs="仿宋"/>
          <w:b w:val="0"/>
          <w:bCs/>
          <w:sz w:val="28"/>
          <w:szCs w:val="28"/>
        </w:rPr>
        <w:t>（一）投标人具有类似项目履约经验。</w:t>
      </w:r>
    </w:p>
    <w:p>
      <w:pPr>
        <w:pStyle w:val="12"/>
        <w:tabs>
          <w:tab w:val="left" w:pos="1134"/>
        </w:tabs>
        <w:spacing w:line="360" w:lineRule="auto"/>
        <w:ind w:firstLine="548" w:firstLineChars="196"/>
        <w:rPr>
          <w:rFonts w:hint="eastAsia" w:ascii="仿宋" w:hAnsi="仿宋" w:eastAsia="仿宋" w:cs="仿宋"/>
          <w:sz w:val="28"/>
          <w:szCs w:val="28"/>
          <w:lang w:eastAsia="zh-CN"/>
        </w:rPr>
      </w:pPr>
      <w:r>
        <w:rPr>
          <w:rFonts w:hint="eastAsia" w:ascii="仿宋" w:hAnsi="仿宋" w:eastAsia="仿宋" w:cs="仿宋"/>
          <w:b w:val="0"/>
          <w:bCs/>
          <w:sz w:val="28"/>
          <w:szCs w:val="28"/>
        </w:rPr>
        <w:t>（二）投标人</w:t>
      </w:r>
      <w:r>
        <w:rPr>
          <w:rFonts w:hint="eastAsia" w:ascii="仿宋" w:hAnsi="仿宋" w:eastAsia="仿宋" w:cs="仿宋"/>
          <w:b w:val="0"/>
          <w:bCs/>
          <w:sz w:val="28"/>
          <w:szCs w:val="28"/>
          <w:lang w:val="en-US" w:eastAsia="zh-CN"/>
        </w:rPr>
        <w:t>针对</w:t>
      </w:r>
      <w:r>
        <w:rPr>
          <w:rFonts w:hint="eastAsia" w:ascii="仿宋" w:hAnsi="仿宋" w:eastAsia="仿宋" w:cs="仿宋"/>
          <w:b w:val="0"/>
          <w:bCs/>
          <w:sz w:val="28"/>
          <w:szCs w:val="28"/>
        </w:rPr>
        <w:t>项目</w:t>
      </w:r>
      <w:r>
        <w:rPr>
          <w:rFonts w:hint="eastAsia" w:ascii="仿宋" w:hAnsi="仿宋" w:eastAsia="仿宋" w:cs="仿宋"/>
          <w:b w:val="0"/>
          <w:bCs/>
          <w:sz w:val="28"/>
          <w:szCs w:val="28"/>
          <w:lang w:val="en-US" w:eastAsia="zh-CN"/>
        </w:rPr>
        <w:t>提供</w:t>
      </w:r>
      <w:r>
        <w:rPr>
          <w:rFonts w:hint="eastAsia" w:ascii="仿宋" w:hAnsi="仿宋" w:eastAsia="仿宋" w:cs="仿宋"/>
          <w:kern w:val="0"/>
          <w:sz w:val="28"/>
          <w:szCs w:val="28"/>
          <w:lang w:val="en-US" w:eastAsia="zh-CN" w:bidi="ar"/>
        </w:rPr>
        <w:t>项目实施</w:t>
      </w:r>
      <w:r>
        <w:rPr>
          <w:rFonts w:hint="eastAsia" w:ascii="仿宋" w:hAnsi="仿宋" w:eastAsia="仿宋" w:cs="仿宋"/>
          <w:b w:val="0"/>
          <w:bCs/>
          <w:sz w:val="28"/>
          <w:szCs w:val="28"/>
        </w:rPr>
        <w:t>方案，</w:t>
      </w:r>
      <w:r>
        <w:rPr>
          <w:rFonts w:hint="eastAsia" w:ascii="仿宋" w:hAnsi="仿宋" w:eastAsia="仿宋" w:cs="仿宋"/>
          <w:b w:val="0"/>
          <w:bCs/>
          <w:sz w:val="28"/>
          <w:szCs w:val="28"/>
          <w:lang w:val="en-US" w:eastAsia="zh-CN"/>
        </w:rPr>
        <w:t>包</w:t>
      </w:r>
      <w:r>
        <w:rPr>
          <w:rFonts w:hint="eastAsia" w:ascii="仿宋" w:hAnsi="仿宋" w:eastAsia="仿宋" w:cs="仿宋"/>
          <w:b w:val="0"/>
          <w:bCs/>
          <w:sz w:val="28"/>
          <w:szCs w:val="28"/>
        </w:rPr>
        <w:t>含：</w:t>
      </w:r>
      <w:r>
        <w:rPr>
          <w:rFonts w:hint="eastAsia" w:ascii="仿宋" w:hAnsi="仿宋" w:eastAsia="仿宋" w:cs="仿宋"/>
          <w:kern w:val="0"/>
          <w:sz w:val="28"/>
          <w:szCs w:val="28"/>
          <w:lang w:bidi="ar"/>
        </w:rPr>
        <w:t>技术措施方案</w:t>
      </w:r>
      <w:r>
        <w:rPr>
          <w:rFonts w:hint="eastAsia" w:ascii="仿宋" w:hAnsi="仿宋" w:eastAsia="仿宋" w:cs="仿宋"/>
          <w:kern w:val="0"/>
          <w:sz w:val="28"/>
          <w:szCs w:val="28"/>
          <w:lang w:eastAsia="zh-CN" w:bidi="ar"/>
        </w:rPr>
        <w:t>（</w:t>
      </w:r>
      <w:r>
        <w:rPr>
          <w:rFonts w:hint="eastAsia" w:ascii="仿宋" w:hAnsi="仿宋" w:eastAsia="仿宋" w:cs="仿宋"/>
          <w:kern w:val="0"/>
          <w:sz w:val="28"/>
          <w:szCs w:val="28"/>
          <w:lang w:bidi="ar"/>
        </w:rPr>
        <w:t>①实施重点难点、②机械设备进出场、③主要分部分项工程的施工方案与技术措施</w:t>
      </w:r>
      <w:r>
        <w:rPr>
          <w:rFonts w:hint="eastAsia" w:ascii="仿宋" w:hAnsi="仿宋" w:eastAsia="仿宋" w:cs="仿宋"/>
          <w:kern w:val="0"/>
          <w:sz w:val="28"/>
          <w:szCs w:val="28"/>
          <w:lang w:eastAsia="zh-CN" w:bidi="ar"/>
        </w:rPr>
        <w:t>）；</w:t>
      </w:r>
      <w:r>
        <w:rPr>
          <w:rStyle w:val="13"/>
          <w:rFonts w:hint="eastAsia" w:ascii="仿宋" w:hAnsi="仿宋" w:eastAsia="仿宋" w:cs="仿宋"/>
          <w:color w:val="auto"/>
          <w:sz w:val="28"/>
          <w:szCs w:val="28"/>
          <w:lang w:val="en-US" w:eastAsia="zh-CN" w:bidi="ar"/>
        </w:rPr>
        <w:t>项目</w:t>
      </w:r>
      <w:r>
        <w:rPr>
          <w:rStyle w:val="13"/>
          <w:rFonts w:hint="eastAsia" w:ascii="仿宋" w:hAnsi="仿宋" w:eastAsia="仿宋" w:cs="仿宋"/>
          <w:color w:val="auto"/>
          <w:sz w:val="28"/>
          <w:szCs w:val="28"/>
          <w:lang w:bidi="ar"/>
        </w:rPr>
        <w:t>质量措施方案</w:t>
      </w:r>
      <w:r>
        <w:rPr>
          <w:rStyle w:val="13"/>
          <w:rFonts w:hint="eastAsia" w:ascii="仿宋" w:hAnsi="仿宋" w:eastAsia="仿宋" w:cs="仿宋"/>
          <w:color w:val="auto"/>
          <w:sz w:val="28"/>
          <w:szCs w:val="28"/>
          <w:lang w:eastAsia="zh-CN" w:bidi="ar"/>
        </w:rPr>
        <w:t>（</w:t>
      </w:r>
      <w:r>
        <w:rPr>
          <w:rFonts w:hint="eastAsia" w:ascii="仿宋" w:hAnsi="仿宋" w:eastAsia="仿宋" w:cs="仿宋"/>
          <w:kern w:val="0"/>
          <w:sz w:val="28"/>
          <w:szCs w:val="28"/>
          <w:lang w:bidi="ar"/>
        </w:rPr>
        <w:t>①施工原材料质量保证措施、②场地工程施工质量保证措施</w:t>
      </w:r>
      <w:r>
        <w:rPr>
          <w:rStyle w:val="13"/>
          <w:rFonts w:hint="eastAsia" w:ascii="仿宋" w:hAnsi="仿宋" w:eastAsia="仿宋" w:cs="仿宋"/>
          <w:color w:val="auto"/>
          <w:sz w:val="28"/>
          <w:szCs w:val="28"/>
          <w:lang w:eastAsia="zh-CN" w:bidi="ar"/>
        </w:rPr>
        <w:t>）；</w:t>
      </w:r>
      <w:r>
        <w:rPr>
          <w:rStyle w:val="14"/>
          <w:rFonts w:hint="eastAsia" w:ascii="仿宋" w:hAnsi="仿宋" w:eastAsia="仿宋" w:cs="仿宋"/>
          <w:color w:val="auto"/>
          <w:sz w:val="28"/>
          <w:szCs w:val="28"/>
          <w:lang w:val="en-US" w:eastAsia="zh-CN" w:bidi="ar"/>
        </w:rPr>
        <w:t>项目</w:t>
      </w:r>
      <w:r>
        <w:rPr>
          <w:rStyle w:val="14"/>
          <w:rFonts w:hint="eastAsia" w:ascii="仿宋" w:hAnsi="仿宋" w:eastAsia="仿宋" w:cs="仿宋"/>
          <w:color w:val="auto"/>
          <w:sz w:val="28"/>
          <w:szCs w:val="28"/>
          <w:lang w:bidi="ar"/>
        </w:rPr>
        <w:t>安全措施方案</w:t>
      </w:r>
      <w:r>
        <w:rPr>
          <w:rStyle w:val="14"/>
          <w:rFonts w:hint="eastAsia" w:ascii="仿宋" w:hAnsi="仿宋" w:eastAsia="仿宋" w:cs="仿宋"/>
          <w:color w:val="auto"/>
          <w:sz w:val="28"/>
          <w:szCs w:val="28"/>
          <w:lang w:eastAsia="zh-CN" w:bidi="ar"/>
        </w:rPr>
        <w:t>（</w:t>
      </w:r>
      <w:r>
        <w:rPr>
          <w:rFonts w:hint="eastAsia" w:ascii="仿宋" w:hAnsi="仿宋" w:eastAsia="仿宋" w:cs="仿宋"/>
          <w:kern w:val="0"/>
          <w:sz w:val="28"/>
          <w:szCs w:val="28"/>
          <w:lang w:bidi="ar"/>
        </w:rPr>
        <w:t>①安全管理体系、②安全教育及培训计划、③安全防护措施</w:t>
      </w:r>
      <w:r>
        <w:rPr>
          <w:rStyle w:val="14"/>
          <w:rFonts w:hint="eastAsia" w:ascii="仿宋" w:hAnsi="仿宋" w:eastAsia="仿宋" w:cs="仿宋"/>
          <w:color w:val="auto"/>
          <w:sz w:val="28"/>
          <w:szCs w:val="28"/>
          <w:lang w:eastAsia="zh-CN" w:bidi="ar"/>
        </w:rPr>
        <w:t>）；</w:t>
      </w:r>
      <w:r>
        <w:rPr>
          <w:rStyle w:val="14"/>
          <w:rFonts w:hint="eastAsia" w:ascii="仿宋" w:hAnsi="仿宋" w:eastAsia="仿宋" w:cs="仿宋"/>
          <w:color w:val="auto"/>
          <w:sz w:val="28"/>
          <w:szCs w:val="28"/>
          <w:lang w:val="en-US" w:eastAsia="zh-CN" w:bidi="ar"/>
        </w:rPr>
        <w:t>项目</w:t>
      </w:r>
      <w:r>
        <w:rPr>
          <w:rStyle w:val="14"/>
          <w:rFonts w:hint="eastAsia" w:ascii="仿宋" w:hAnsi="仿宋" w:eastAsia="仿宋" w:cs="仿宋"/>
          <w:color w:val="auto"/>
          <w:sz w:val="28"/>
          <w:szCs w:val="28"/>
          <w:lang w:bidi="ar"/>
        </w:rPr>
        <w:t>环境保护措施方案</w:t>
      </w:r>
      <w:r>
        <w:rPr>
          <w:rStyle w:val="14"/>
          <w:rFonts w:hint="eastAsia" w:ascii="仿宋" w:hAnsi="仿宋" w:eastAsia="仿宋" w:cs="仿宋"/>
          <w:color w:val="auto"/>
          <w:sz w:val="28"/>
          <w:szCs w:val="28"/>
          <w:lang w:eastAsia="zh-CN" w:bidi="ar"/>
        </w:rPr>
        <w:t>（</w:t>
      </w:r>
      <w:r>
        <w:rPr>
          <w:rFonts w:hint="eastAsia" w:ascii="仿宋" w:hAnsi="仿宋" w:eastAsia="仿宋" w:cs="仿宋"/>
          <w:kern w:val="0"/>
          <w:sz w:val="28"/>
          <w:szCs w:val="28"/>
          <w:lang w:bidi="ar"/>
        </w:rPr>
        <w:t>①噪音控制、②扬尘控制、③施工人员现场管理</w:t>
      </w:r>
      <w:r>
        <w:rPr>
          <w:rStyle w:val="14"/>
          <w:rFonts w:hint="eastAsia" w:ascii="仿宋" w:hAnsi="仿宋" w:eastAsia="仿宋" w:cs="仿宋"/>
          <w:color w:val="auto"/>
          <w:sz w:val="28"/>
          <w:szCs w:val="28"/>
          <w:lang w:eastAsia="zh-CN" w:bidi="ar"/>
        </w:rPr>
        <w:t>）；</w:t>
      </w:r>
      <w:r>
        <w:rPr>
          <w:rStyle w:val="14"/>
          <w:rFonts w:hint="eastAsia" w:ascii="仿宋" w:hAnsi="仿宋" w:eastAsia="仿宋" w:cs="仿宋"/>
          <w:color w:val="auto"/>
          <w:sz w:val="28"/>
          <w:szCs w:val="28"/>
          <w:lang w:val="en-US" w:eastAsia="zh-CN" w:bidi="ar"/>
        </w:rPr>
        <w:t>项目</w:t>
      </w:r>
      <w:r>
        <w:rPr>
          <w:rStyle w:val="14"/>
          <w:rFonts w:hint="eastAsia" w:ascii="仿宋" w:hAnsi="仿宋" w:eastAsia="仿宋" w:cs="仿宋"/>
          <w:color w:val="auto"/>
          <w:sz w:val="28"/>
          <w:szCs w:val="28"/>
          <w:lang w:bidi="ar"/>
        </w:rPr>
        <w:t>进度计划与措施方案</w:t>
      </w:r>
      <w:r>
        <w:rPr>
          <w:rStyle w:val="14"/>
          <w:rFonts w:hint="eastAsia" w:ascii="仿宋" w:hAnsi="仿宋" w:eastAsia="仿宋" w:cs="仿宋"/>
          <w:color w:val="auto"/>
          <w:sz w:val="28"/>
          <w:szCs w:val="28"/>
          <w:lang w:eastAsia="zh-CN" w:bidi="ar"/>
        </w:rPr>
        <w:t>（</w:t>
      </w:r>
      <w:r>
        <w:rPr>
          <w:rFonts w:hint="eastAsia" w:ascii="仿宋" w:hAnsi="仿宋" w:eastAsia="仿宋" w:cs="仿宋"/>
          <w:kern w:val="0"/>
          <w:sz w:val="28"/>
          <w:szCs w:val="28"/>
          <w:lang w:bidi="ar"/>
        </w:rPr>
        <w:t>①施工计划安排、②施工进度控制及保障措施、③应急预案</w:t>
      </w:r>
      <w:r>
        <w:rPr>
          <w:rStyle w:val="14"/>
          <w:rFonts w:hint="eastAsia" w:ascii="仿宋" w:hAnsi="仿宋" w:eastAsia="仿宋" w:cs="仿宋"/>
          <w:color w:val="auto"/>
          <w:sz w:val="28"/>
          <w:szCs w:val="28"/>
          <w:lang w:eastAsia="zh-CN" w:bidi="ar"/>
        </w:rPr>
        <w:t>）。</w:t>
      </w:r>
    </w:p>
    <w:p>
      <w:pPr>
        <w:pStyle w:val="12"/>
        <w:tabs>
          <w:tab w:val="left" w:pos="1134"/>
        </w:tabs>
        <w:spacing w:line="360" w:lineRule="auto"/>
        <w:ind w:firstLine="548" w:firstLineChars="196"/>
        <w:rPr>
          <w:rFonts w:hint="eastAsia" w:ascii="仿宋" w:hAnsi="仿宋" w:eastAsia="仿宋" w:cs="仿宋"/>
          <w:sz w:val="28"/>
          <w:szCs w:val="28"/>
          <w:lang w:eastAsia="zh-CN"/>
        </w:rPr>
      </w:pP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三</w:t>
      </w:r>
      <w:r>
        <w:rPr>
          <w:rFonts w:hint="eastAsia" w:ascii="仿宋" w:hAnsi="仿宋" w:eastAsia="仿宋" w:cs="仿宋"/>
          <w:b w:val="0"/>
          <w:bCs/>
          <w:sz w:val="28"/>
          <w:szCs w:val="28"/>
        </w:rPr>
        <w:t>）投标人</w:t>
      </w:r>
      <w:r>
        <w:rPr>
          <w:rFonts w:hint="eastAsia" w:ascii="仿宋" w:hAnsi="仿宋" w:eastAsia="仿宋" w:cs="仿宋"/>
          <w:b w:val="0"/>
          <w:bCs/>
          <w:sz w:val="28"/>
          <w:szCs w:val="28"/>
          <w:lang w:val="en-US" w:eastAsia="zh-CN"/>
        </w:rPr>
        <w:t>针对</w:t>
      </w:r>
      <w:r>
        <w:rPr>
          <w:rFonts w:hint="eastAsia" w:ascii="仿宋" w:hAnsi="仿宋" w:eastAsia="仿宋" w:cs="仿宋"/>
          <w:b w:val="0"/>
          <w:bCs/>
          <w:sz w:val="28"/>
          <w:szCs w:val="28"/>
        </w:rPr>
        <w:t>项目</w:t>
      </w:r>
      <w:r>
        <w:rPr>
          <w:rFonts w:hint="eastAsia" w:ascii="仿宋" w:hAnsi="仿宋" w:eastAsia="仿宋" w:cs="仿宋"/>
          <w:b w:val="0"/>
          <w:bCs/>
          <w:sz w:val="28"/>
          <w:szCs w:val="28"/>
          <w:lang w:val="en-US" w:eastAsia="zh-CN"/>
        </w:rPr>
        <w:t>提供</w:t>
      </w:r>
      <w:r>
        <w:rPr>
          <w:rStyle w:val="14"/>
          <w:rFonts w:hint="eastAsia" w:ascii="仿宋" w:hAnsi="仿宋" w:eastAsia="仿宋" w:cs="仿宋"/>
          <w:color w:val="auto"/>
          <w:sz w:val="28"/>
          <w:szCs w:val="28"/>
          <w:lang w:bidi="ar"/>
        </w:rPr>
        <w:t>售后服务方案</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包</w:t>
      </w:r>
      <w:r>
        <w:rPr>
          <w:rFonts w:hint="eastAsia" w:ascii="仿宋" w:hAnsi="仿宋" w:eastAsia="仿宋" w:cs="仿宋"/>
          <w:b w:val="0"/>
          <w:bCs/>
          <w:sz w:val="28"/>
          <w:szCs w:val="28"/>
        </w:rPr>
        <w:t>含：</w:t>
      </w:r>
      <w:r>
        <w:rPr>
          <w:rStyle w:val="14"/>
          <w:rFonts w:hint="eastAsia" w:ascii="仿宋" w:hAnsi="仿宋" w:eastAsia="仿宋" w:cs="仿宋"/>
          <w:color w:val="auto"/>
          <w:sz w:val="28"/>
          <w:szCs w:val="28"/>
          <w:lang w:bidi="ar"/>
        </w:rPr>
        <w:t>①售后服务机制；②售后服务承诺及保障措施；③售后服务支持方案、培训计划及措施；④保障项目应用需要的常驻售后人员配置；⑤质量保证范围承诺</w:t>
      </w:r>
      <w:r>
        <w:rPr>
          <w:rStyle w:val="14"/>
          <w:rFonts w:hint="eastAsia" w:ascii="仿宋" w:hAnsi="仿宋" w:eastAsia="仿宋" w:cs="仿宋"/>
          <w:color w:val="auto"/>
          <w:sz w:val="28"/>
          <w:szCs w:val="28"/>
          <w:lang w:eastAsia="zh-CN" w:bidi="ar"/>
        </w:rPr>
        <w:t>。</w:t>
      </w:r>
    </w:p>
    <w:p>
      <w:pPr>
        <w:pStyle w:val="12"/>
        <w:tabs>
          <w:tab w:val="left" w:pos="1134"/>
        </w:tabs>
        <w:spacing w:line="360" w:lineRule="auto"/>
        <w:ind w:firstLine="548" w:firstLineChars="196"/>
        <w:rPr>
          <w:rFonts w:hint="eastAsia" w:ascii="仿宋" w:hAnsi="仿宋" w:eastAsia="仿宋" w:cs="仿宋"/>
          <w:sz w:val="28"/>
          <w:szCs w:val="28"/>
          <w:lang w:eastAsia="zh-CN"/>
        </w:rPr>
      </w:pP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四</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投标人拟针对本项目配置团队人员，人员应具备以下相关证书：</w:t>
      </w:r>
      <w:r>
        <w:rPr>
          <w:rFonts w:hint="eastAsia" w:ascii="仿宋" w:hAnsi="仿宋" w:eastAsia="仿宋" w:cs="仿宋"/>
          <w:kern w:val="0"/>
          <w:sz w:val="28"/>
          <w:szCs w:val="28"/>
          <w:lang w:bidi="ar"/>
        </w:rPr>
        <w:t>机电工程专业</w:t>
      </w:r>
      <w:r>
        <w:rPr>
          <w:rFonts w:hint="eastAsia" w:ascii="仿宋" w:hAnsi="仿宋" w:eastAsia="仿宋" w:cs="仿宋"/>
          <w:kern w:val="0"/>
          <w:sz w:val="28"/>
          <w:szCs w:val="28"/>
          <w:lang w:val="en-US" w:eastAsia="zh-CN" w:bidi="ar"/>
        </w:rPr>
        <w:t>资格证书或电力相关专业职称证书，特种作业操作证</w:t>
      </w:r>
      <w:r>
        <w:rPr>
          <w:rFonts w:hint="eastAsia" w:ascii="仿宋" w:hAnsi="仿宋" w:eastAsia="仿宋" w:cs="仿宋"/>
          <w:kern w:val="0"/>
          <w:sz w:val="28"/>
          <w:szCs w:val="28"/>
          <w:lang w:eastAsia="zh-CN" w:bidi="ar"/>
        </w:rPr>
        <w:t>，</w:t>
      </w:r>
      <w:r>
        <w:rPr>
          <w:rFonts w:hint="eastAsia" w:ascii="仿宋" w:hAnsi="仿宋" w:eastAsia="仿宋" w:cs="仿宋"/>
          <w:kern w:val="0"/>
          <w:sz w:val="28"/>
          <w:szCs w:val="28"/>
          <w:lang w:bidi="ar"/>
        </w:rPr>
        <w:t>安全生产考核合格C证</w:t>
      </w:r>
      <w:r>
        <w:rPr>
          <w:rStyle w:val="14"/>
          <w:rFonts w:hint="eastAsia" w:ascii="仿宋" w:hAnsi="仿宋" w:eastAsia="仿宋" w:cs="仿宋"/>
          <w:color w:val="auto"/>
          <w:sz w:val="28"/>
          <w:szCs w:val="28"/>
          <w:lang w:eastAsia="zh-CN" w:bidi="ar"/>
        </w:rPr>
        <w:t>。</w:t>
      </w:r>
    </w:p>
    <w:p>
      <w:pPr>
        <w:spacing w:line="360" w:lineRule="auto"/>
        <w:rPr>
          <w:rFonts w:hint="eastAsia" w:ascii="仿宋" w:hAnsi="仿宋" w:eastAsia="仿宋" w:cs="仿宋"/>
          <w:sz w:val="28"/>
          <w:szCs w:val="28"/>
        </w:rPr>
      </w:pPr>
    </w:p>
    <w:p>
      <w:pPr>
        <w:pStyle w:val="8"/>
        <w:spacing w:line="360" w:lineRule="auto"/>
        <w:ind w:left="0" w:leftChars="0"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注意：1</w:t>
      </w:r>
      <w:r>
        <w:rPr>
          <w:rFonts w:hint="eastAsia" w:ascii="仿宋" w:hAnsi="仿宋" w:eastAsia="仿宋" w:cs="仿宋"/>
          <w:b/>
          <w:bCs/>
          <w:color w:val="auto"/>
          <w:sz w:val="28"/>
          <w:szCs w:val="28"/>
          <w:highlight w:val="none"/>
          <w:lang w:val="en-US" w:eastAsia="zh-CN"/>
        </w:rPr>
        <w:t>.</w:t>
      </w:r>
      <w:r>
        <w:rPr>
          <w:rFonts w:hint="eastAsia" w:ascii="仿宋" w:hAnsi="仿宋" w:eastAsia="仿宋" w:cs="仿宋"/>
          <w:b/>
          <w:bCs/>
          <w:color w:val="auto"/>
          <w:sz w:val="28"/>
          <w:szCs w:val="28"/>
          <w:highlight w:val="none"/>
        </w:rPr>
        <w:t>以上打</w:t>
      </w:r>
      <w:r>
        <w:rPr>
          <w:rFonts w:hint="eastAsia" w:ascii="仿宋" w:hAnsi="仿宋" w:eastAsia="仿宋" w:cs="仿宋"/>
          <w:color w:val="auto"/>
          <w:sz w:val="28"/>
          <w:szCs w:val="28"/>
          <w:highlight w:val="none"/>
        </w:rPr>
        <w:t>★</w:t>
      </w:r>
      <w:r>
        <w:rPr>
          <w:rFonts w:hint="eastAsia" w:ascii="仿宋" w:hAnsi="仿宋" w:eastAsia="仿宋" w:cs="仿宋"/>
          <w:b/>
          <w:bCs/>
          <w:color w:val="auto"/>
          <w:sz w:val="28"/>
          <w:szCs w:val="28"/>
          <w:highlight w:val="none"/>
        </w:rPr>
        <w:t>号的为本章的实质性要求，不允许有负偏离。</w:t>
      </w:r>
    </w:p>
    <w:p>
      <w:pPr>
        <w:pStyle w:val="8"/>
        <w:spacing w:line="360" w:lineRule="auto"/>
        <w:ind w:firstLine="843" w:firstLineChars="3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2.本章实质性要求未明确证明材料的，在对应的商务应答表或技术偏离表中应答或响应即可。</w:t>
      </w:r>
    </w:p>
    <w:p>
      <w:pPr>
        <w:rPr>
          <w:rFonts w:hint="eastAsia" w:ascii="宋体" w:hAnsi="宋体" w:eastAsia="宋体" w:cs="宋体"/>
          <w:color w:val="auto"/>
          <w:sz w:val="24"/>
          <w:szCs w:val="24"/>
          <w:highlight w:val="none"/>
        </w:rPr>
      </w:pPr>
      <w:bookmarkStart w:id="24" w:name="_Toc12471"/>
      <w:r>
        <w:rPr>
          <w:rFonts w:hint="eastAsia" w:ascii="宋体" w:hAnsi="宋体" w:eastAsia="宋体" w:cs="宋体"/>
          <w:color w:val="auto"/>
          <w:sz w:val="24"/>
          <w:szCs w:val="24"/>
          <w:highlight w:val="none"/>
        </w:rPr>
        <w:br w:type="page"/>
      </w:r>
    </w:p>
    <w:p>
      <w:pPr>
        <w:pStyle w:val="6"/>
        <w:numPr>
          <w:ilvl w:val="2"/>
          <w:numId w:val="0"/>
        </w:numPr>
        <w:ind w:lef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评分标准</w:t>
      </w:r>
      <w:bookmarkEnd w:id="24"/>
    </w:p>
    <w:tbl>
      <w:tblPr>
        <w:tblStyle w:val="9"/>
        <w:tblW w:w="9037" w:type="dxa"/>
        <w:tblInd w:w="-459" w:type="dxa"/>
        <w:tblLayout w:type="fixed"/>
        <w:tblCellMar>
          <w:top w:w="0" w:type="dxa"/>
          <w:left w:w="108" w:type="dxa"/>
          <w:bottom w:w="0" w:type="dxa"/>
          <w:right w:w="108" w:type="dxa"/>
        </w:tblCellMar>
      </w:tblPr>
      <w:tblGrid>
        <w:gridCol w:w="660"/>
        <w:gridCol w:w="712"/>
        <w:gridCol w:w="872"/>
        <w:gridCol w:w="5018"/>
        <w:gridCol w:w="907"/>
        <w:gridCol w:w="855"/>
        <w:gridCol w:w="13"/>
      </w:tblGrid>
      <w:tr>
        <w:tblPrEx>
          <w:tblCellMar>
            <w:top w:w="0" w:type="dxa"/>
            <w:left w:w="108" w:type="dxa"/>
            <w:bottom w:w="0" w:type="dxa"/>
            <w:right w:w="108"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8"/>
                <w:szCs w:val="28"/>
              </w:rPr>
            </w:pPr>
            <w:r>
              <w:rPr>
                <w:rStyle w:val="15"/>
                <w:rFonts w:hint="eastAsia" w:ascii="仿宋" w:hAnsi="仿宋" w:eastAsia="仿宋" w:cs="仿宋"/>
                <w:b w:val="0"/>
                <w:bCs w:val="0"/>
                <w:color w:val="auto"/>
                <w:sz w:val="28"/>
                <w:szCs w:val="28"/>
                <w:lang w:bidi="ar"/>
              </w:rPr>
              <w:t>序号</w:t>
            </w:r>
          </w:p>
        </w:tc>
        <w:tc>
          <w:tcPr>
            <w:tcW w:w="15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rPr>
              <w:t>评审项目</w:t>
            </w:r>
          </w:p>
        </w:tc>
        <w:tc>
          <w:tcPr>
            <w:tcW w:w="50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8"/>
                <w:szCs w:val="28"/>
              </w:rPr>
            </w:pPr>
            <w:r>
              <w:rPr>
                <w:rStyle w:val="15"/>
                <w:rFonts w:hint="eastAsia" w:ascii="仿宋" w:hAnsi="仿宋" w:eastAsia="仿宋" w:cs="仿宋"/>
                <w:b w:val="0"/>
                <w:bCs w:val="0"/>
                <w:color w:val="auto"/>
                <w:sz w:val="28"/>
                <w:szCs w:val="28"/>
                <w:lang w:bidi="ar"/>
              </w:rPr>
              <w:t>详细要求</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8"/>
                <w:szCs w:val="28"/>
              </w:rPr>
            </w:pPr>
            <w:r>
              <w:rPr>
                <w:rStyle w:val="15"/>
                <w:rFonts w:hint="eastAsia" w:ascii="仿宋" w:hAnsi="仿宋" w:eastAsia="仿宋" w:cs="仿宋"/>
                <w:b w:val="0"/>
                <w:bCs w:val="0"/>
                <w:color w:val="auto"/>
                <w:sz w:val="28"/>
                <w:szCs w:val="28"/>
                <w:lang w:bidi="ar"/>
              </w:rPr>
              <w:t>分值</w:t>
            </w:r>
          </w:p>
        </w:tc>
        <w:tc>
          <w:tcPr>
            <w:tcW w:w="86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8"/>
                <w:szCs w:val="28"/>
              </w:rPr>
            </w:pPr>
            <w:r>
              <w:rPr>
                <w:rStyle w:val="15"/>
                <w:rFonts w:hint="eastAsia" w:ascii="仿宋" w:hAnsi="仿宋" w:eastAsia="仿宋" w:cs="仿宋"/>
                <w:b w:val="0"/>
                <w:bCs w:val="0"/>
                <w:color w:val="auto"/>
                <w:sz w:val="28"/>
                <w:szCs w:val="28"/>
                <w:lang w:bidi="ar"/>
              </w:rPr>
              <w:t>备注</w:t>
            </w:r>
          </w:p>
        </w:tc>
      </w:tr>
      <w:tr>
        <w:tblPrEx>
          <w:tblCellMar>
            <w:top w:w="0" w:type="dxa"/>
            <w:left w:w="108" w:type="dxa"/>
            <w:bottom w:w="0" w:type="dxa"/>
            <w:right w:w="108"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8"/>
                <w:szCs w:val="28"/>
              </w:rPr>
            </w:pPr>
            <w:r>
              <w:rPr>
                <w:rFonts w:hint="eastAsia" w:ascii="仿宋" w:hAnsi="仿宋" w:eastAsia="仿宋" w:cs="仿宋"/>
                <w:kern w:val="0"/>
                <w:sz w:val="28"/>
                <w:szCs w:val="28"/>
                <w:lang w:bidi="ar"/>
              </w:rPr>
              <w:t>1</w:t>
            </w:r>
          </w:p>
        </w:tc>
        <w:tc>
          <w:tcPr>
            <w:tcW w:w="15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8"/>
                <w:szCs w:val="28"/>
              </w:rPr>
            </w:pPr>
            <w:r>
              <w:rPr>
                <w:rStyle w:val="13"/>
                <w:rFonts w:hint="eastAsia" w:ascii="仿宋" w:hAnsi="仿宋" w:eastAsia="仿宋" w:cs="仿宋"/>
                <w:color w:val="auto"/>
                <w:sz w:val="28"/>
                <w:szCs w:val="28"/>
                <w:lang w:bidi="ar"/>
              </w:rPr>
              <w:t>报价</w:t>
            </w:r>
          </w:p>
        </w:tc>
        <w:tc>
          <w:tcPr>
            <w:tcW w:w="50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满足招标文件要求且投标价格最低的投标报价为评标基准价，其价格分为满分。其他供应商的价格分统一按照下列公式计算：投标报价得分=(评标基准价÷投标报价)×30%×100。</w:t>
            </w:r>
          </w:p>
          <w:p>
            <w:pPr>
              <w:widowControl/>
              <w:textAlignment w:val="center"/>
              <w:rPr>
                <w:rFonts w:hint="eastAsia" w:ascii="仿宋" w:hAnsi="仿宋" w:eastAsia="仿宋" w:cs="仿宋"/>
                <w:sz w:val="28"/>
                <w:szCs w:val="28"/>
              </w:rPr>
            </w:pPr>
            <w:r>
              <w:rPr>
                <w:rFonts w:hint="eastAsia" w:ascii="仿宋" w:hAnsi="仿宋" w:eastAsia="仿宋" w:cs="仿宋"/>
                <w:color w:val="000000"/>
                <w:sz w:val="28"/>
                <w:szCs w:val="28"/>
              </w:rPr>
              <w:t>注：根据《关于印发&lt;政府采购促进中小企业发展管理办法&gt;的通知》(财库〔2020〕46号）及《关于促进残疾人就业政府采购政策的通知》（财库〔2017〕141号）及《关于进一步加大政府采购支持中小企业力度的通知》（财库〔2022〕19号）的规定，对小型和微型企业（监狱企业和残疾人福利性单位视同小微企业）产品的价格给予10%的价格扣除，用扣除后的价格参与评审。</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8"/>
                <w:szCs w:val="28"/>
              </w:rPr>
            </w:pPr>
            <w:r>
              <w:rPr>
                <w:rFonts w:hint="eastAsia" w:ascii="仿宋" w:hAnsi="仿宋" w:eastAsia="仿宋" w:cs="仿宋"/>
                <w:kern w:val="0"/>
                <w:sz w:val="28"/>
                <w:szCs w:val="28"/>
                <w:lang w:bidi="ar"/>
              </w:rPr>
              <w:t>30</w:t>
            </w:r>
          </w:p>
        </w:tc>
        <w:tc>
          <w:tcPr>
            <w:tcW w:w="86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rPr>
              <w:t>共同评分因素</w:t>
            </w:r>
          </w:p>
        </w:tc>
      </w:tr>
      <w:tr>
        <w:tblPrEx>
          <w:tblCellMar>
            <w:top w:w="0" w:type="dxa"/>
            <w:left w:w="108" w:type="dxa"/>
            <w:bottom w:w="0" w:type="dxa"/>
            <w:right w:w="108" w:type="dxa"/>
          </w:tblCellMar>
        </w:tblPrEx>
        <w:trPr>
          <w:trHeight w:val="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8"/>
                <w:szCs w:val="28"/>
              </w:rPr>
            </w:pPr>
            <w:r>
              <w:rPr>
                <w:rFonts w:hint="eastAsia" w:ascii="仿宋" w:hAnsi="仿宋" w:eastAsia="仿宋" w:cs="仿宋"/>
                <w:kern w:val="0"/>
                <w:sz w:val="28"/>
                <w:szCs w:val="28"/>
                <w:lang w:bidi="ar"/>
              </w:rPr>
              <w:t>2</w:t>
            </w:r>
          </w:p>
        </w:tc>
        <w:tc>
          <w:tcPr>
            <w:tcW w:w="15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kern w:val="0"/>
                <w:sz w:val="28"/>
                <w:szCs w:val="28"/>
                <w:lang w:bidi="ar"/>
              </w:rPr>
              <w:t>技术参数与性能指标</w:t>
            </w:r>
          </w:p>
        </w:tc>
        <w:tc>
          <w:tcPr>
            <w:tcW w:w="50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sz w:val="28"/>
                <w:szCs w:val="28"/>
              </w:rPr>
            </w:pPr>
            <w:r>
              <w:rPr>
                <w:rFonts w:hint="eastAsia" w:ascii="仿宋" w:hAnsi="仿宋" w:eastAsia="仿宋" w:cs="仿宋"/>
                <w:sz w:val="28"/>
                <w:szCs w:val="28"/>
              </w:rPr>
              <w:t>投标人所投产品完全满足招标文件要求的得</w:t>
            </w:r>
            <w:r>
              <w:rPr>
                <w:rFonts w:hint="eastAsia" w:ascii="仿宋" w:hAnsi="仿宋" w:eastAsia="仿宋" w:cs="仿宋"/>
                <w:sz w:val="28"/>
                <w:szCs w:val="28"/>
                <w:lang w:val="en-US" w:eastAsia="zh-CN"/>
              </w:rPr>
              <w:t>37</w:t>
            </w:r>
            <w:r>
              <w:rPr>
                <w:rFonts w:hint="eastAsia" w:ascii="仿宋" w:hAnsi="仿宋" w:eastAsia="仿宋" w:cs="仿宋"/>
                <w:sz w:val="28"/>
                <w:szCs w:val="28"/>
              </w:rPr>
              <w:t>分，每有一项负偏离的扣</w:t>
            </w:r>
            <w:r>
              <w:rPr>
                <w:rFonts w:hint="eastAsia" w:ascii="仿宋" w:hAnsi="仿宋" w:eastAsia="仿宋" w:cs="仿宋"/>
                <w:sz w:val="28"/>
                <w:szCs w:val="28"/>
                <w:lang w:val="en-US" w:eastAsia="zh-CN"/>
              </w:rPr>
              <w:t>0.2</w:t>
            </w:r>
            <w:r>
              <w:rPr>
                <w:rFonts w:hint="eastAsia" w:ascii="仿宋" w:hAnsi="仿宋" w:eastAsia="仿宋" w:cs="仿宋"/>
                <w:sz w:val="28"/>
                <w:szCs w:val="28"/>
              </w:rPr>
              <w:t>分，扣完为止。</w:t>
            </w:r>
          </w:p>
          <w:p>
            <w:pPr>
              <w:widowControl/>
              <w:textAlignment w:val="center"/>
              <w:rPr>
                <w:rFonts w:hint="eastAsia" w:ascii="仿宋" w:hAnsi="仿宋" w:eastAsia="仿宋" w:cs="仿宋"/>
                <w:sz w:val="28"/>
                <w:szCs w:val="28"/>
              </w:rPr>
            </w:pPr>
            <w:r>
              <w:rPr>
                <w:rFonts w:hint="eastAsia" w:ascii="仿宋" w:hAnsi="仿宋" w:eastAsia="仿宋" w:cs="仿宋"/>
                <w:sz w:val="28"/>
                <w:szCs w:val="28"/>
              </w:rPr>
              <w:t>注：非 “★”项共有</w:t>
            </w:r>
            <w:r>
              <w:rPr>
                <w:rFonts w:hint="eastAsia" w:ascii="仿宋" w:hAnsi="仿宋" w:eastAsia="仿宋" w:cs="仿宋"/>
                <w:sz w:val="28"/>
                <w:szCs w:val="28"/>
                <w:lang w:val="en-US" w:eastAsia="zh-CN"/>
              </w:rPr>
              <w:t>185</w:t>
            </w:r>
            <w:r>
              <w:rPr>
                <w:rFonts w:hint="eastAsia" w:ascii="仿宋" w:hAnsi="仿宋" w:eastAsia="仿宋" w:cs="仿宋"/>
                <w:sz w:val="28"/>
                <w:szCs w:val="28"/>
              </w:rPr>
              <w:t>项。“★”项为实质性要求，不做评审。</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sz w:val="28"/>
                <w:szCs w:val="28"/>
                <w:lang w:val="en-US" w:eastAsia="zh-CN"/>
              </w:rPr>
            </w:pPr>
            <w:r>
              <w:rPr>
                <w:rFonts w:hint="eastAsia" w:ascii="仿宋" w:hAnsi="仿宋" w:eastAsia="仿宋" w:cs="仿宋"/>
                <w:kern w:val="0"/>
                <w:sz w:val="28"/>
                <w:szCs w:val="28"/>
                <w:lang w:val="en-US" w:eastAsia="zh-CN" w:bidi="ar"/>
              </w:rPr>
              <w:t>37</w:t>
            </w:r>
          </w:p>
        </w:tc>
        <w:tc>
          <w:tcPr>
            <w:tcW w:w="86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技术评审因素</w:t>
            </w:r>
          </w:p>
        </w:tc>
      </w:tr>
      <w:tr>
        <w:tblPrEx>
          <w:tblCellMar>
            <w:top w:w="0" w:type="dxa"/>
            <w:left w:w="108" w:type="dxa"/>
            <w:bottom w:w="0" w:type="dxa"/>
            <w:right w:w="108" w:type="dxa"/>
          </w:tblCellMar>
        </w:tblPrEx>
        <w:trPr>
          <w:trHeight w:val="0" w:hRule="atLeast"/>
        </w:trPr>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8"/>
                <w:szCs w:val="28"/>
              </w:rPr>
            </w:pPr>
            <w:r>
              <w:rPr>
                <w:rFonts w:hint="eastAsia" w:ascii="仿宋" w:hAnsi="仿宋" w:eastAsia="仿宋" w:cs="仿宋"/>
                <w:kern w:val="0"/>
                <w:sz w:val="28"/>
                <w:szCs w:val="28"/>
                <w:lang w:bidi="ar"/>
              </w:rPr>
              <w:t>3</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8"/>
                <w:szCs w:val="28"/>
                <w:lang w:val="en-US" w:eastAsia="zh-CN"/>
              </w:rPr>
            </w:pPr>
            <w:r>
              <w:rPr>
                <w:rFonts w:hint="eastAsia" w:ascii="仿宋" w:hAnsi="仿宋" w:eastAsia="仿宋" w:cs="仿宋"/>
                <w:kern w:val="0"/>
                <w:sz w:val="28"/>
                <w:szCs w:val="28"/>
                <w:lang w:val="en-US" w:eastAsia="zh-CN" w:bidi="ar"/>
              </w:rPr>
              <w:t>项目实施方案</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8"/>
                <w:szCs w:val="28"/>
              </w:rPr>
            </w:pPr>
            <w:r>
              <w:rPr>
                <w:rStyle w:val="13"/>
                <w:rFonts w:hint="eastAsia" w:ascii="仿宋" w:hAnsi="仿宋" w:eastAsia="仿宋" w:cs="仿宋"/>
                <w:color w:val="auto"/>
                <w:sz w:val="28"/>
                <w:szCs w:val="28"/>
                <w:lang w:bidi="ar"/>
              </w:rPr>
              <w:t>技术措施方案</w:t>
            </w:r>
          </w:p>
        </w:tc>
        <w:tc>
          <w:tcPr>
            <w:tcW w:w="50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sz w:val="28"/>
                <w:szCs w:val="28"/>
              </w:rPr>
            </w:pPr>
            <w:r>
              <w:rPr>
                <w:rFonts w:hint="eastAsia" w:ascii="仿宋" w:hAnsi="仿宋" w:eastAsia="仿宋" w:cs="仿宋"/>
                <w:kern w:val="0"/>
                <w:sz w:val="28"/>
                <w:szCs w:val="28"/>
                <w:lang w:bidi="ar"/>
              </w:rPr>
              <w:t>投标人针对本项目提供技术措施方案，内容包含：①实施重点难点、②机械设备进出场、③主要分部分项工程的施工方案与技术措施，以上内容完整齐全的得3分，每有一项内容缺失的扣1分，每有一处内容存在缺陷的扣0.5分，扣完为止。</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8"/>
                <w:szCs w:val="28"/>
              </w:rPr>
            </w:pPr>
            <w:r>
              <w:rPr>
                <w:rFonts w:hint="eastAsia" w:ascii="仿宋" w:hAnsi="仿宋" w:eastAsia="仿宋" w:cs="仿宋"/>
                <w:kern w:val="0"/>
                <w:sz w:val="28"/>
                <w:szCs w:val="28"/>
                <w:lang w:bidi="ar"/>
              </w:rPr>
              <w:t>3</w:t>
            </w:r>
          </w:p>
        </w:tc>
        <w:tc>
          <w:tcPr>
            <w:tcW w:w="868" w:type="dxa"/>
            <w:gridSpan w:val="2"/>
            <w:vMerge w:val="restart"/>
            <w:tcBorders>
              <w:top w:val="single" w:color="000000" w:sz="4" w:space="0"/>
              <w:left w:val="single" w:color="000000" w:sz="4" w:space="0"/>
              <w:right w:val="single" w:color="000000"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技术评审因素</w:t>
            </w:r>
          </w:p>
        </w:tc>
      </w:tr>
      <w:tr>
        <w:tblPrEx>
          <w:tblCellMar>
            <w:top w:w="0" w:type="dxa"/>
            <w:left w:w="108" w:type="dxa"/>
            <w:bottom w:w="0" w:type="dxa"/>
            <w:right w:w="108" w:type="dxa"/>
          </w:tblCellMar>
        </w:tblPrEx>
        <w:trPr>
          <w:trHeight w:val="0"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8"/>
                <w:szCs w:val="28"/>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8"/>
                <w:szCs w:val="28"/>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8"/>
                <w:szCs w:val="28"/>
              </w:rPr>
            </w:pPr>
            <w:r>
              <w:rPr>
                <w:rStyle w:val="13"/>
                <w:rFonts w:hint="eastAsia" w:ascii="仿宋" w:hAnsi="仿宋" w:eastAsia="仿宋" w:cs="仿宋"/>
                <w:color w:val="auto"/>
                <w:sz w:val="28"/>
                <w:szCs w:val="28"/>
                <w:lang w:val="en-US" w:eastAsia="zh-CN" w:bidi="ar"/>
              </w:rPr>
              <w:t>项目</w:t>
            </w:r>
            <w:r>
              <w:rPr>
                <w:rStyle w:val="13"/>
                <w:rFonts w:hint="eastAsia" w:ascii="仿宋" w:hAnsi="仿宋" w:eastAsia="仿宋" w:cs="仿宋"/>
                <w:color w:val="auto"/>
                <w:sz w:val="28"/>
                <w:szCs w:val="28"/>
                <w:lang w:bidi="ar"/>
              </w:rPr>
              <w:t>质量措施</w:t>
            </w:r>
          </w:p>
        </w:tc>
        <w:tc>
          <w:tcPr>
            <w:tcW w:w="50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sz w:val="28"/>
                <w:szCs w:val="28"/>
              </w:rPr>
            </w:pPr>
            <w:r>
              <w:rPr>
                <w:rFonts w:hint="eastAsia" w:ascii="仿宋" w:hAnsi="仿宋" w:eastAsia="仿宋" w:cs="仿宋"/>
                <w:kern w:val="0"/>
                <w:sz w:val="28"/>
                <w:szCs w:val="28"/>
                <w:lang w:bidi="ar"/>
              </w:rPr>
              <w:t>投标人针对本项目提供</w:t>
            </w:r>
            <w:r>
              <w:rPr>
                <w:rStyle w:val="13"/>
                <w:rFonts w:hint="eastAsia" w:ascii="仿宋" w:hAnsi="仿宋" w:eastAsia="仿宋" w:cs="仿宋"/>
                <w:color w:val="auto"/>
                <w:sz w:val="28"/>
                <w:szCs w:val="28"/>
                <w:lang w:val="en-US" w:eastAsia="zh-CN" w:bidi="ar"/>
              </w:rPr>
              <w:t>项目</w:t>
            </w:r>
            <w:r>
              <w:rPr>
                <w:rStyle w:val="13"/>
                <w:rFonts w:hint="eastAsia" w:ascii="仿宋" w:hAnsi="仿宋" w:eastAsia="仿宋" w:cs="仿宋"/>
                <w:color w:val="auto"/>
                <w:sz w:val="28"/>
                <w:szCs w:val="28"/>
                <w:lang w:bidi="ar"/>
              </w:rPr>
              <w:t>质量措施方案：内容包含：</w:t>
            </w:r>
            <w:r>
              <w:rPr>
                <w:rFonts w:hint="eastAsia" w:ascii="仿宋" w:hAnsi="仿宋" w:eastAsia="仿宋" w:cs="仿宋"/>
                <w:kern w:val="0"/>
                <w:sz w:val="28"/>
                <w:szCs w:val="28"/>
                <w:lang w:bidi="ar"/>
              </w:rPr>
              <w:t>①施工原材料质量保证措施、②场地工程施工质量保证措施，以上内容完整齐全的得3分，每有一项内容缺失的扣1.5分，每有一处内容存在缺陷的扣0.75分，扣完为止。</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8"/>
                <w:szCs w:val="28"/>
              </w:rPr>
            </w:pPr>
            <w:r>
              <w:rPr>
                <w:rFonts w:hint="eastAsia" w:ascii="仿宋" w:hAnsi="仿宋" w:eastAsia="仿宋" w:cs="仿宋"/>
                <w:kern w:val="0"/>
                <w:sz w:val="28"/>
                <w:szCs w:val="28"/>
                <w:lang w:bidi="ar"/>
              </w:rPr>
              <w:t>3</w:t>
            </w:r>
          </w:p>
        </w:tc>
        <w:tc>
          <w:tcPr>
            <w:tcW w:w="868" w:type="dxa"/>
            <w:gridSpan w:val="2"/>
            <w:vMerge w:val="continue"/>
            <w:tcBorders>
              <w:left w:val="single" w:color="000000" w:sz="4" w:space="0"/>
              <w:right w:val="single" w:color="000000" w:sz="4" w:space="0"/>
            </w:tcBorders>
            <w:noWrap w:val="0"/>
            <w:vAlign w:val="center"/>
          </w:tcPr>
          <w:p>
            <w:pPr>
              <w:jc w:val="center"/>
              <w:rPr>
                <w:rFonts w:hint="eastAsia" w:ascii="仿宋" w:hAnsi="仿宋" w:eastAsia="仿宋" w:cs="仿宋"/>
                <w:sz w:val="28"/>
                <w:szCs w:val="28"/>
              </w:rPr>
            </w:pPr>
          </w:p>
        </w:tc>
      </w:tr>
      <w:tr>
        <w:tblPrEx>
          <w:tblCellMar>
            <w:top w:w="0" w:type="dxa"/>
            <w:left w:w="108" w:type="dxa"/>
            <w:bottom w:w="0" w:type="dxa"/>
            <w:right w:w="108" w:type="dxa"/>
          </w:tblCellMar>
        </w:tblPrEx>
        <w:trPr>
          <w:trHeight w:val="0"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8"/>
                <w:szCs w:val="28"/>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8"/>
                <w:szCs w:val="28"/>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8"/>
                <w:szCs w:val="28"/>
              </w:rPr>
            </w:pPr>
            <w:r>
              <w:rPr>
                <w:rStyle w:val="14"/>
                <w:rFonts w:hint="eastAsia" w:ascii="仿宋" w:hAnsi="仿宋" w:eastAsia="仿宋" w:cs="仿宋"/>
                <w:color w:val="auto"/>
                <w:sz w:val="28"/>
                <w:szCs w:val="28"/>
                <w:lang w:val="en-US" w:eastAsia="zh-CN" w:bidi="ar"/>
              </w:rPr>
              <w:t>项目</w:t>
            </w:r>
            <w:r>
              <w:rPr>
                <w:rStyle w:val="14"/>
                <w:rFonts w:hint="eastAsia" w:ascii="仿宋" w:hAnsi="仿宋" w:eastAsia="仿宋" w:cs="仿宋"/>
                <w:color w:val="auto"/>
                <w:sz w:val="28"/>
                <w:szCs w:val="28"/>
                <w:lang w:bidi="ar"/>
              </w:rPr>
              <w:t>安全措施</w:t>
            </w:r>
          </w:p>
        </w:tc>
        <w:tc>
          <w:tcPr>
            <w:tcW w:w="50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sz w:val="28"/>
                <w:szCs w:val="28"/>
              </w:rPr>
            </w:pPr>
            <w:r>
              <w:rPr>
                <w:rFonts w:hint="eastAsia" w:ascii="仿宋" w:hAnsi="仿宋" w:eastAsia="仿宋" w:cs="仿宋"/>
                <w:kern w:val="0"/>
                <w:sz w:val="28"/>
                <w:szCs w:val="28"/>
                <w:lang w:bidi="ar"/>
              </w:rPr>
              <w:t>投标人针对本项目提供</w:t>
            </w:r>
            <w:r>
              <w:rPr>
                <w:rStyle w:val="14"/>
                <w:rFonts w:hint="eastAsia" w:ascii="仿宋" w:hAnsi="仿宋" w:eastAsia="仿宋" w:cs="仿宋"/>
                <w:color w:val="auto"/>
                <w:sz w:val="28"/>
                <w:szCs w:val="28"/>
                <w:lang w:val="en-US" w:eastAsia="zh-CN" w:bidi="ar"/>
              </w:rPr>
              <w:t>项目</w:t>
            </w:r>
            <w:r>
              <w:rPr>
                <w:rStyle w:val="14"/>
                <w:rFonts w:hint="eastAsia" w:ascii="仿宋" w:hAnsi="仿宋" w:eastAsia="仿宋" w:cs="仿宋"/>
                <w:color w:val="auto"/>
                <w:sz w:val="28"/>
                <w:szCs w:val="28"/>
                <w:lang w:bidi="ar"/>
              </w:rPr>
              <w:t>安全措施方案，内容包含：</w:t>
            </w:r>
            <w:r>
              <w:rPr>
                <w:rFonts w:hint="eastAsia" w:ascii="仿宋" w:hAnsi="仿宋" w:eastAsia="仿宋" w:cs="仿宋"/>
                <w:kern w:val="0"/>
                <w:sz w:val="28"/>
                <w:szCs w:val="28"/>
                <w:lang w:bidi="ar"/>
              </w:rPr>
              <w:t>①安全管理体系、②安全教育及培训计划、③安全防护措施，以上内容完整齐全的得3分，每有一项内容缺失的扣1分，每有一处内容存在缺陷的扣0.5分，扣完为止。</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8"/>
                <w:szCs w:val="28"/>
              </w:rPr>
            </w:pPr>
            <w:r>
              <w:rPr>
                <w:rFonts w:hint="eastAsia" w:ascii="仿宋" w:hAnsi="仿宋" w:eastAsia="仿宋" w:cs="仿宋"/>
                <w:kern w:val="0"/>
                <w:sz w:val="28"/>
                <w:szCs w:val="28"/>
                <w:lang w:bidi="ar"/>
              </w:rPr>
              <w:t>3</w:t>
            </w:r>
          </w:p>
        </w:tc>
        <w:tc>
          <w:tcPr>
            <w:tcW w:w="868" w:type="dxa"/>
            <w:gridSpan w:val="2"/>
            <w:vMerge w:val="continue"/>
            <w:tcBorders>
              <w:left w:val="single" w:color="000000" w:sz="4" w:space="0"/>
              <w:right w:val="single" w:color="000000" w:sz="4" w:space="0"/>
            </w:tcBorders>
            <w:noWrap w:val="0"/>
            <w:vAlign w:val="center"/>
          </w:tcPr>
          <w:p>
            <w:pPr>
              <w:jc w:val="center"/>
              <w:rPr>
                <w:rFonts w:hint="eastAsia" w:ascii="仿宋" w:hAnsi="仿宋" w:eastAsia="仿宋" w:cs="仿宋"/>
                <w:sz w:val="28"/>
                <w:szCs w:val="28"/>
              </w:rPr>
            </w:pPr>
          </w:p>
        </w:tc>
      </w:tr>
      <w:tr>
        <w:tblPrEx>
          <w:tblCellMar>
            <w:top w:w="0" w:type="dxa"/>
            <w:left w:w="108" w:type="dxa"/>
            <w:bottom w:w="0" w:type="dxa"/>
            <w:right w:w="108" w:type="dxa"/>
          </w:tblCellMar>
        </w:tblPrEx>
        <w:trPr>
          <w:trHeight w:val="0"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8"/>
                <w:szCs w:val="28"/>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8"/>
                <w:szCs w:val="28"/>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8"/>
                <w:szCs w:val="28"/>
              </w:rPr>
            </w:pPr>
            <w:r>
              <w:rPr>
                <w:rStyle w:val="14"/>
                <w:rFonts w:hint="eastAsia" w:ascii="仿宋" w:hAnsi="仿宋" w:eastAsia="仿宋" w:cs="仿宋"/>
                <w:color w:val="auto"/>
                <w:sz w:val="28"/>
                <w:szCs w:val="28"/>
                <w:lang w:val="en-US" w:eastAsia="zh-CN" w:bidi="ar"/>
              </w:rPr>
              <w:t>项目</w:t>
            </w:r>
            <w:r>
              <w:rPr>
                <w:rStyle w:val="14"/>
                <w:rFonts w:hint="eastAsia" w:ascii="仿宋" w:hAnsi="仿宋" w:eastAsia="仿宋" w:cs="仿宋"/>
                <w:color w:val="auto"/>
                <w:sz w:val="28"/>
                <w:szCs w:val="28"/>
                <w:lang w:bidi="ar"/>
              </w:rPr>
              <w:t>环境保护措施</w:t>
            </w:r>
          </w:p>
        </w:tc>
        <w:tc>
          <w:tcPr>
            <w:tcW w:w="50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sz w:val="28"/>
                <w:szCs w:val="28"/>
              </w:rPr>
            </w:pPr>
            <w:r>
              <w:rPr>
                <w:rFonts w:hint="eastAsia" w:ascii="仿宋" w:hAnsi="仿宋" w:eastAsia="仿宋" w:cs="仿宋"/>
                <w:kern w:val="0"/>
                <w:sz w:val="28"/>
                <w:szCs w:val="28"/>
                <w:lang w:bidi="ar"/>
              </w:rPr>
              <w:t>投标人针对本项目提供</w:t>
            </w:r>
            <w:r>
              <w:rPr>
                <w:rStyle w:val="14"/>
                <w:rFonts w:hint="eastAsia" w:ascii="仿宋" w:hAnsi="仿宋" w:eastAsia="仿宋" w:cs="仿宋"/>
                <w:color w:val="auto"/>
                <w:sz w:val="28"/>
                <w:szCs w:val="28"/>
                <w:lang w:val="en-US" w:eastAsia="zh-CN" w:bidi="ar"/>
              </w:rPr>
              <w:t>项目</w:t>
            </w:r>
            <w:r>
              <w:rPr>
                <w:rStyle w:val="14"/>
                <w:rFonts w:hint="eastAsia" w:ascii="仿宋" w:hAnsi="仿宋" w:eastAsia="仿宋" w:cs="仿宋"/>
                <w:color w:val="auto"/>
                <w:sz w:val="28"/>
                <w:szCs w:val="28"/>
                <w:lang w:bidi="ar"/>
              </w:rPr>
              <w:t>环境保护措施方案，内容包含：</w:t>
            </w:r>
            <w:r>
              <w:rPr>
                <w:rFonts w:hint="eastAsia" w:ascii="仿宋" w:hAnsi="仿宋" w:eastAsia="仿宋" w:cs="仿宋"/>
                <w:kern w:val="0"/>
                <w:sz w:val="28"/>
                <w:szCs w:val="28"/>
                <w:lang w:bidi="ar"/>
              </w:rPr>
              <w:t>①噪音控制、②扬尘控制、③施工人员现场管理，以上内容完整齐全的得3分，每有一项内容缺失的扣1分，每有一处内容存在缺陷的扣0.5分，扣完为止。</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8"/>
                <w:szCs w:val="28"/>
              </w:rPr>
            </w:pPr>
            <w:r>
              <w:rPr>
                <w:rFonts w:hint="eastAsia" w:ascii="仿宋" w:hAnsi="仿宋" w:eastAsia="仿宋" w:cs="仿宋"/>
                <w:kern w:val="0"/>
                <w:sz w:val="28"/>
                <w:szCs w:val="28"/>
                <w:lang w:bidi="ar"/>
              </w:rPr>
              <w:t>3</w:t>
            </w:r>
          </w:p>
        </w:tc>
        <w:tc>
          <w:tcPr>
            <w:tcW w:w="868" w:type="dxa"/>
            <w:gridSpan w:val="2"/>
            <w:vMerge w:val="continue"/>
            <w:tcBorders>
              <w:left w:val="single" w:color="000000" w:sz="4" w:space="0"/>
              <w:right w:val="single" w:color="000000" w:sz="4" w:space="0"/>
            </w:tcBorders>
            <w:noWrap w:val="0"/>
            <w:vAlign w:val="center"/>
          </w:tcPr>
          <w:p>
            <w:pPr>
              <w:jc w:val="center"/>
              <w:rPr>
                <w:rFonts w:hint="eastAsia" w:ascii="仿宋" w:hAnsi="仿宋" w:eastAsia="仿宋" w:cs="仿宋"/>
                <w:sz w:val="28"/>
                <w:szCs w:val="28"/>
              </w:rPr>
            </w:pPr>
          </w:p>
        </w:tc>
      </w:tr>
      <w:tr>
        <w:tblPrEx>
          <w:tblCellMar>
            <w:top w:w="0" w:type="dxa"/>
            <w:left w:w="108" w:type="dxa"/>
            <w:bottom w:w="0" w:type="dxa"/>
            <w:right w:w="108" w:type="dxa"/>
          </w:tblCellMar>
        </w:tblPrEx>
        <w:trPr>
          <w:trHeight w:val="0"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8"/>
                <w:szCs w:val="28"/>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8"/>
                <w:szCs w:val="28"/>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8"/>
                <w:szCs w:val="28"/>
              </w:rPr>
            </w:pPr>
            <w:r>
              <w:rPr>
                <w:rStyle w:val="14"/>
                <w:rFonts w:hint="eastAsia" w:ascii="仿宋" w:hAnsi="仿宋" w:eastAsia="仿宋" w:cs="仿宋"/>
                <w:color w:val="auto"/>
                <w:sz w:val="28"/>
                <w:szCs w:val="28"/>
                <w:lang w:val="en-US" w:eastAsia="zh-CN" w:bidi="ar"/>
              </w:rPr>
              <w:t>项目</w:t>
            </w:r>
            <w:r>
              <w:rPr>
                <w:rStyle w:val="14"/>
                <w:rFonts w:hint="eastAsia" w:ascii="仿宋" w:hAnsi="仿宋" w:eastAsia="仿宋" w:cs="仿宋"/>
                <w:color w:val="auto"/>
                <w:sz w:val="28"/>
                <w:szCs w:val="28"/>
                <w:lang w:bidi="ar"/>
              </w:rPr>
              <w:t>进度计划与措施</w:t>
            </w:r>
          </w:p>
        </w:tc>
        <w:tc>
          <w:tcPr>
            <w:tcW w:w="50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sz w:val="28"/>
                <w:szCs w:val="28"/>
              </w:rPr>
            </w:pPr>
            <w:r>
              <w:rPr>
                <w:rFonts w:hint="eastAsia" w:ascii="仿宋" w:hAnsi="仿宋" w:eastAsia="仿宋" w:cs="仿宋"/>
                <w:kern w:val="0"/>
                <w:sz w:val="28"/>
                <w:szCs w:val="28"/>
                <w:lang w:bidi="ar"/>
              </w:rPr>
              <w:t>投标人针对本项目提供</w:t>
            </w:r>
            <w:r>
              <w:rPr>
                <w:rStyle w:val="14"/>
                <w:rFonts w:hint="eastAsia" w:ascii="仿宋" w:hAnsi="仿宋" w:eastAsia="仿宋" w:cs="仿宋"/>
                <w:color w:val="auto"/>
                <w:sz w:val="28"/>
                <w:szCs w:val="28"/>
                <w:lang w:val="en-US" w:eastAsia="zh-CN" w:bidi="ar"/>
              </w:rPr>
              <w:t>项目</w:t>
            </w:r>
            <w:r>
              <w:rPr>
                <w:rStyle w:val="14"/>
                <w:rFonts w:hint="eastAsia" w:ascii="仿宋" w:hAnsi="仿宋" w:eastAsia="仿宋" w:cs="仿宋"/>
                <w:color w:val="auto"/>
                <w:sz w:val="28"/>
                <w:szCs w:val="28"/>
                <w:lang w:bidi="ar"/>
              </w:rPr>
              <w:t>进度计划与措施方案，内容包含：</w:t>
            </w:r>
            <w:r>
              <w:rPr>
                <w:rFonts w:hint="eastAsia" w:ascii="仿宋" w:hAnsi="仿宋" w:eastAsia="仿宋" w:cs="仿宋"/>
                <w:kern w:val="0"/>
                <w:sz w:val="28"/>
                <w:szCs w:val="28"/>
                <w:lang w:bidi="ar"/>
              </w:rPr>
              <w:t>①施工计划安排、②施工进度控制及保障措施、③应急预案，以上内容完整齐全的得3分，每有一项内容缺失的扣1分，每有一处内容存在缺陷的扣0.5分，扣完为止。</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8"/>
                <w:szCs w:val="28"/>
              </w:rPr>
            </w:pPr>
            <w:r>
              <w:rPr>
                <w:rFonts w:hint="eastAsia" w:ascii="仿宋" w:hAnsi="仿宋" w:eastAsia="仿宋" w:cs="仿宋"/>
                <w:kern w:val="0"/>
                <w:sz w:val="28"/>
                <w:szCs w:val="28"/>
                <w:lang w:bidi="ar"/>
              </w:rPr>
              <w:t>3</w:t>
            </w:r>
          </w:p>
        </w:tc>
        <w:tc>
          <w:tcPr>
            <w:tcW w:w="868" w:type="dxa"/>
            <w:gridSpan w:val="2"/>
            <w:vMerge w:val="continue"/>
            <w:tcBorders>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8"/>
                <w:szCs w:val="28"/>
              </w:rPr>
            </w:pPr>
          </w:p>
        </w:tc>
      </w:tr>
      <w:tr>
        <w:tblPrEx>
          <w:tblCellMar>
            <w:top w:w="0" w:type="dxa"/>
            <w:left w:w="108" w:type="dxa"/>
            <w:bottom w:w="0" w:type="dxa"/>
            <w:right w:w="108" w:type="dxa"/>
          </w:tblCellMar>
        </w:tblPrEx>
        <w:trPr>
          <w:gridAfter w:val="1"/>
          <w:wAfter w:w="13" w:type="dxa"/>
          <w:trHeight w:val="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8"/>
                <w:szCs w:val="28"/>
              </w:rPr>
            </w:pPr>
            <w:r>
              <w:rPr>
                <w:rFonts w:hint="eastAsia" w:ascii="仿宋" w:hAnsi="仿宋" w:eastAsia="仿宋" w:cs="仿宋"/>
                <w:kern w:val="0"/>
                <w:sz w:val="28"/>
                <w:szCs w:val="28"/>
                <w:lang w:bidi="ar"/>
              </w:rPr>
              <w:t>4</w:t>
            </w:r>
          </w:p>
        </w:tc>
        <w:tc>
          <w:tcPr>
            <w:tcW w:w="15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8"/>
                <w:szCs w:val="28"/>
              </w:rPr>
            </w:pPr>
            <w:r>
              <w:rPr>
                <w:rStyle w:val="14"/>
                <w:rFonts w:hint="eastAsia" w:ascii="仿宋" w:hAnsi="仿宋" w:eastAsia="仿宋" w:cs="仿宋"/>
                <w:color w:val="auto"/>
                <w:sz w:val="28"/>
                <w:szCs w:val="28"/>
                <w:lang w:bidi="ar"/>
              </w:rPr>
              <w:t>售后服务</w:t>
            </w:r>
          </w:p>
        </w:tc>
        <w:tc>
          <w:tcPr>
            <w:tcW w:w="501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sz w:val="28"/>
                <w:szCs w:val="28"/>
              </w:rPr>
            </w:pPr>
            <w:r>
              <w:rPr>
                <w:rFonts w:hint="eastAsia" w:ascii="仿宋" w:hAnsi="仿宋" w:eastAsia="仿宋" w:cs="仿宋"/>
                <w:kern w:val="0"/>
                <w:sz w:val="28"/>
                <w:szCs w:val="28"/>
                <w:lang w:bidi="ar"/>
              </w:rPr>
              <w:t>投标人针对本项目提供</w:t>
            </w:r>
            <w:r>
              <w:rPr>
                <w:rStyle w:val="14"/>
                <w:rFonts w:hint="eastAsia" w:ascii="仿宋" w:hAnsi="仿宋" w:eastAsia="仿宋" w:cs="仿宋"/>
                <w:color w:val="auto"/>
                <w:sz w:val="28"/>
                <w:szCs w:val="28"/>
                <w:lang w:bidi="ar"/>
              </w:rPr>
              <w:t>售后服务方案，内容包含：①售后服务机制；②售后服务承诺及保障措施；③售后服务支持方案、培训计划及措施；④保障项目应用需要的常驻售后人员配置；⑤质量保证范围承诺；</w:t>
            </w:r>
            <w:r>
              <w:rPr>
                <w:rFonts w:hint="eastAsia" w:ascii="仿宋" w:hAnsi="仿宋" w:eastAsia="仿宋" w:cs="仿宋"/>
                <w:kern w:val="0"/>
                <w:sz w:val="28"/>
                <w:szCs w:val="28"/>
                <w:lang w:bidi="ar"/>
              </w:rPr>
              <w:t>以上内容完整齐全的得5分，每有一项内容缺失的扣1分，每有一处内容存在缺陷的扣0.5分，扣完为止。</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8"/>
                <w:szCs w:val="28"/>
              </w:rPr>
            </w:pPr>
            <w:r>
              <w:rPr>
                <w:rFonts w:hint="eastAsia" w:ascii="仿宋" w:hAnsi="仿宋" w:eastAsia="仿宋" w:cs="仿宋"/>
                <w:kern w:val="0"/>
                <w:sz w:val="28"/>
                <w:szCs w:val="28"/>
                <w:lang w:bidi="ar"/>
              </w:rPr>
              <w:t>5</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技术评审因素</w:t>
            </w:r>
          </w:p>
        </w:tc>
      </w:tr>
      <w:tr>
        <w:tblPrEx>
          <w:tblCellMar>
            <w:top w:w="0" w:type="dxa"/>
            <w:left w:w="108" w:type="dxa"/>
            <w:bottom w:w="0" w:type="dxa"/>
            <w:right w:w="108" w:type="dxa"/>
          </w:tblCellMar>
        </w:tblPrEx>
        <w:trPr>
          <w:gridAfter w:val="1"/>
          <w:wAfter w:w="13" w:type="dxa"/>
          <w:trHeight w:val="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8"/>
                <w:szCs w:val="28"/>
              </w:rPr>
            </w:pPr>
            <w:r>
              <w:rPr>
                <w:rFonts w:hint="eastAsia" w:ascii="仿宋" w:hAnsi="仿宋" w:eastAsia="仿宋" w:cs="仿宋"/>
                <w:kern w:val="0"/>
                <w:sz w:val="28"/>
                <w:szCs w:val="28"/>
                <w:lang w:bidi="ar"/>
              </w:rPr>
              <w:t>5</w:t>
            </w:r>
          </w:p>
        </w:tc>
        <w:tc>
          <w:tcPr>
            <w:tcW w:w="15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8"/>
                <w:szCs w:val="28"/>
              </w:rPr>
            </w:pPr>
            <w:r>
              <w:rPr>
                <w:rStyle w:val="14"/>
                <w:rFonts w:hint="eastAsia" w:ascii="仿宋" w:hAnsi="仿宋" w:eastAsia="仿宋" w:cs="仿宋"/>
                <w:color w:val="auto"/>
                <w:sz w:val="28"/>
                <w:szCs w:val="28"/>
                <w:lang w:bidi="ar"/>
              </w:rPr>
              <w:t>项目管理机构</w:t>
            </w:r>
          </w:p>
        </w:tc>
        <w:tc>
          <w:tcPr>
            <w:tcW w:w="50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kern w:val="0"/>
                <w:sz w:val="28"/>
                <w:szCs w:val="28"/>
                <w:lang w:bidi="ar"/>
              </w:rPr>
            </w:pPr>
            <w:r>
              <w:rPr>
                <w:rFonts w:hint="eastAsia" w:ascii="仿宋" w:hAnsi="仿宋" w:eastAsia="仿宋" w:cs="仿宋"/>
                <w:kern w:val="0"/>
                <w:sz w:val="28"/>
                <w:szCs w:val="28"/>
                <w:lang w:bidi="ar"/>
              </w:rPr>
              <w:t>对拟投入本项目的项目经理、技术负责人、其他主要人员从以下方面进行评审：</w:t>
            </w:r>
          </w:p>
          <w:p>
            <w:pPr>
              <w:widowControl/>
              <w:jc w:val="left"/>
              <w:textAlignment w:val="center"/>
              <w:rPr>
                <w:rFonts w:hint="eastAsia" w:ascii="仿宋" w:hAnsi="仿宋" w:eastAsia="仿宋" w:cs="仿宋"/>
                <w:kern w:val="0"/>
                <w:sz w:val="28"/>
                <w:szCs w:val="28"/>
                <w:lang w:bidi="ar"/>
              </w:rPr>
            </w:pPr>
            <w:r>
              <w:rPr>
                <w:rFonts w:hint="eastAsia" w:ascii="仿宋" w:hAnsi="仿宋" w:eastAsia="仿宋" w:cs="仿宋"/>
                <w:kern w:val="0"/>
                <w:sz w:val="28"/>
                <w:szCs w:val="28"/>
                <w:lang w:bidi="ar"/>
              </w:rPr>
              <w:t>1、拟派往本项目的项目经理（1人）：具有机电工程专业二级或以上注册建造师资格且具备有效的安全生产考核合格B证得2分，同时具有电力工程相关专业中级职称加1分、高级职称加2分。本项最多得4分。</w:t>
            </w:r>
          </w:p>
          <w:p>
            <w:pPr>
              <w:widowControl/>
              <w:jc w:val="left"/>
              <w:textAlignment w:val="center"/>
              <w:rPr>
                <w:rFonts w:hint="eastAsia" w:ascii="仿宋" w:hAnsi="仿宋" w:eastAsia="仿宋" w:cs="仿宋"/>
                <w:kern w:val="0"/>
                <w:sz w:val="28"/>
                <w:szCs w:val="28"/>
                <w:lang w:bidi="ar"/>
              </w:rPr>
            </w:pPr>
            <w:r>
              <w:rPr>
                <w:rFonts w:hint="eastAsia" w:ascii="仿宋" w:hAnsi="仿宋" w:eastAsia="仿宋" w:cs="仿宋"/>
                <w:kern w:val="0"/>
                <w:sz w:val="28"/>
                <w:szCs w:val="28"/>
                <w:lang w:bidi="ar"/>
              </w:rPr>
              <w:t>2、拟派往本项目的项目技术负责人（1人）：具有电力工程相关专业中级及以上职称且具有安全生产考核合格证的得</w:t>
            </w:r>
            <w:r>
              <w:rPr>
                <w:rFonts w:hint="eastAsia" w:ascii="仿宋" w:hAnsi="仿宋" w:eastAsia="仿宋" w:cs="仿宋"/>
                <w:kern w:val="0"/>
                <w:sz w:val="28"/>
                <w:szCs w:val="28"/>
                <w:lang w:val="en-US" w:eastAsia="zh-CN" w:bidi="ar"/>
              </w:rPr>
              <w:t>3</w:t>
            </w:r>
            <w:r>
              <w:rPr>
                <w:rFonts w:hint="eastAsia" w:ascii="仿宋" w:hAnsi="仿宋" w:eastAsia="仿宋" w:cs="仿宋"/>
                <w:kern w:val="0"/>
                <w:sz w:val="28"/>
                <w:szCs w:val="28"/>
                <w:lang w:bidi="ar"/>
              </w:rPr>
              <w:t>分。</w:t>
            </w:r>
          </w:p>
          <w:p>
            <w:pPr>
              <w:keepNext w:val="0"/>
              <w:keepLines w:val="0"/>
              <w:widowControl/>
              <w:suppressLineNumbers w:val="0"/>
              <w:jc w:val="left"/>
              <w:textAlignment w:val="center"/>
              <w:rPr>
                <w:rFonts w:hint="eastAsia" w:ascii="仿宋" w:hAnsi="仿宋" w:eastAsia="仿宋" w:cs="仿宋"/>
                <w:kern w:val="0"/>
                <w:sz w:val="28"/>
                <w:szCs w:val="28"/>
                <w:lang w:bidi="ar"/>
              </w:rPr>
            </w:pPr>
            <w:r>
              <w:rPr>
                <w:rFonts w:hint="eastAsia" w:ascii="仿宋" w:hAnsi="仿宋" w:eastAsia="仿宋" w:cs="仿宋"/>
                <w:kern w:val="0"/>
                <w:sz w:val="28"/>
                <w:szCs w:val="28"/>
                <w:lang w:bidi="ar"/>
              </w:rPr>
              <w:t>3、拟派往本项目的其他主要人员：配备有施工技术员（具备有效的</w:t>
            </w:r>
            <w:r>
              <w:rPr>
                <w:rFonts w:hint="eastAsia" w:ascii="仿宋" w:hAnsi="仿宋" w:eastAsia="仿宋" w:cs="仿宋"/>
                <w:kern w:val="0"/>
                <w:sz w:val="28"/>
                <w:szCs w:val="28"/>
                <w:lang w:val="en-US" w:eastAsia="zh-CN" w:bidi="ar"/>
              </w:rPr>
              <w:t>特种作业操作证，特种作业操作证指高压电工作业）</w:t>
            </w:r>
          </w:p>
          <w:p>
            <w:pPr>
              <w:widowControl/>
              <w:jc w:val="left"/>
              <w:textAlignment w:val="center"/>
              <w:rPr>
                <w:rFonts w:hint="eastAsia" w:ascii="仿宋" w:hAnsi="仿宋" w:eastAsia="仿宋" w:cs="仿宋"/>
                <w:kern w:val="0"/>
                <w:sz w:val="28"/>
                <w:szCs w:val="28"/>
                <w:lang w:bidi="ar"/>
              </w:rPr>
            </w:pPr>
            <w:r>
              <w:rPr>
                <w:rFonts w:hint="eastAsia" w:ascii="仿宋" w:hAnsi="仿宋" w:eastAsia="仿宋" w:cs="仿宋"/>
                <w:kern w:val="0"/>
                <w:sz w:val="28"/>
                <w:szCs w:val="28"/>
                <w:lang w:bidi="ar"/>
              </w:rPr>
              <w:t>得1分；安全员（需具备有效的安全生产考核合格C证）得1分；配备有质量员、造价人员、材料员、资料员的，每具有一个岗位得1分；本项最高得6分。</w:t>
            </w:r>
          </w:p>
          <w:p>
            <w:pPr>
              <w:widowControl/>
              <w:jc w:val="left"/>
              <w:textAlignment w:val="center"/>
              <w:rPr>
                <w:rFonts w:hint="eastAsia" w:ascii="仿宋" w:hAnsi="仿宋" w:eastAsia="仿宋" w:cs="仿宋"/>
                <w:kern w:val="0"/>
                <w:sz w:val="28"/>
                <w:szCs w:val="28"/>
                <w:lang w:bidi="ar"/>
              </w:rPr>
            </w:pPr>
            <w:r>
              <w:rPr>
                <w:rFonts w:hint="eastAsia" w:ascii="仿宋" w:hAnsi="仿宋" w:eastAsia="仿宋" w:cs="仿宋"/>
                <w:kern w:val="0"/>
                <w:sz w:val="28"/>
                <w:szCs w:val="28"/>
                <w:lang w:bidi="ar"/>
              </w:rPr>
              <w:t>注：</w:t>
            </w:r>
          </w:p>
          <w:p>
            <w:pPr>
              <w:widowControl/>
              <w:jc w:val="left"/>
              <w:textAlignment w:val="center"/>
              <w:rPr>
                <w:rFonts w:hint="eastAsia" w:ascii="仿宋" w:hAnsi="仿宋" w:eastAsia="仿宋" w:cs="仿宋"/>
                <w:kern w:val="0"/>
                <w:sz w:val="28"/>
                <w:szCs w:val="28"/>
                <w:lang w:bidi="ar"/>
              </w:rPr>
            </w:pPr>
            <w:r>
              <w:rPr>
                <w:rFonts w:hint="eastAsia" w:ascii="仿宋" w:hAnsi="仿宋" w:eastAsia="仿宋" w:cs="仿宋"/>
                <w:kern w:val="0"/>
                <w:sz w:val="28"/>
                <w:szCs w:val="28"/>
                <w:lang w:bidi="ar"/>
              </w:rPr>
              <w:t>（1）以上人员提供国家职能部门颁发的相关证书复印件并加盖供应商公章（注：配备的安全员、质量员、造价人员、材料员、资料员可提供人员名单或承诺函）。</w:t>
            </w:r>
          </w:p>
          <w:p>
            <w:pPr>
              <w:widowControl/>
              <w:jc w:val="left"/>
              <w:textAlignment w:val="center"/>
              <w:rPr>
                <w:rFonts w:hint="eastAsia" w:ascii="仿宋" w:hAnsi="仿宋" w:eastAsia="仿宋" w:cs="仿宋"/>
                <w:kern w:val="0"/>
                <w:sz w:val="28"/>
                <w:szCs w:val="28"/>
                <w:lang w:bidi="ar"/>
              </w:rPr>
            </w:pPr>
            <w:r>
              <w:rPr>
                <w:rFonts w:hint="eastAsia" w:ascii="仿宋" w:hAnsi="仿宋" w:eastAsia="仿宋" w:cs="仿宋"/>
                <w:kern w:val="0"/>
                <w:sz w:val="28"/>
                <w:szCs w:val="28"/>
                <w:lang w:bidi="ar"/>
              </w:rPr>
              <w:t>（2）以上所有人员不得为同一人，为供应商本单位在职员工（须提供人员为本单位的在职证明材料，否则不予认定）。</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8"/>
                <w:szCs w:val="28"/>
                <w:lang w:eastAsia="zh-CN"/>
              </w:rPr>
            </w:pPr>
            <w:r>
              <w:rPr>
                <w:rFonts w:hint="eastAsia" w:ascii="仿宋" w:hAnsi="仿宋" w:eastAsia="仿宋" w:cs="仿宋"/>
                <w:kern w:val="0"/>
                <w:sz w:val="28"/>
                <w:szCs w:val="28"/>
                <w:lang w:bidi="ar"/>
              </w:rPr>
              <w:t>1</w:t>
            </w:r>
            <w:r>
              <w:rPr>
                <w:rFonts w:hint="eastAsia" w:ascii="仿宋" w:hAnsi="仿宋" w:eastAsia="仿宋" w:cs="仿宋"/>
                <w:kern w:val="0"/>
                <w:sz w:val="28"/>
                <w:szCs w:val="28"/>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共同评分因素</w:t>
            </w:r>
          </w:p>
        </w:tc>
      </w:tr>
      <w:tr>
        <w:tblPrEx>
          <w:tblCellMar>
            <w:top w:w="0" w:type="dxa"/>
            <w:left w:w="108" w:type="dxa"/>
            <w:bottom w:w="0" w:type="dxa"/>
            <w:right w:w="108" w:type="dxa"/>
          </w:tblCellMar>
        </w:tblPrEx>
        <w:trPr>
          <w:gridAfter w:val="1"/>
          <w:wAfter w:w="13" w:type="dxa"/>
          <w:trHeight w:val="0" w:hRule="atLeast"/>
        </w:trPr>
        <w:tc>
          <w:tcPr>
            <w:tcW w:w="9024"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8"/>
                <w:szCs w:val="28"/>
              </w:rPr>
            </w:pPr>
            <w:r>
              <w:rPr>
                <w:rFonts w:hint="eastAsia" w:ascii="仿宋" w:hAnsi="仿宋" w:eastAsia="仿宋" w:cs="仿宋"/>
                <w:sz w:val="28"/>
                <w:szCs w:val="28"/>
              </w:rPr>
              <w:t>注：方案中的缺陷是指：数据、名称、专业术语及符号、文字表述错误、前后矛盾；方案中存在与本项目现场情况无关内容，或存在明显抄袭、照搬其他地区及项目的内容</w:t>
            </w:r>
            <w:r>
              <w:rPr>
                <w:rFonts w:hint="eastAsia" w:ascii="仿宋" w:hAnsi="仿宋" w:eastAsia="仿宋" w:cs="仿宋"/>
                <w:bCs/>
                <w:sz w:val="28"/>
                <w:szCs w:val="28"/>
              </w:rPr>
              <w:t>等其中任意一种情形</w:t>
            </w:r>
            <w:r>
              <w:rPr>
                <w:rFonts w:hint="eastAsia" w:ascii="仿宋" w:hAnsi="仿宋" w:eastAsia="仿宋" w:cs="仿宋"/>
                <w:sz w:val="28"/>
                <w:szCs w:val="28"/>
              </w:rPr>
              <w:t xml:space="preserve">。  </w:t>
            </w:r>
          </w:p>
        </w:tc>
      </w:tr>
    </w:tbl>
    <w:p>
      <w:pPr>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说明：</w:t>
      </w:r>
    </w:p>
    <w:p>
      <w:pPr>
        <w:spacing w:line="276"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一、评分的取值按四舍五入法，保留小数点后两位；</w:t>
      </w:r>
    </w:p>
    <w:p>
      <w:pPr>
        <w:spacing w:line="276" w:lineRule="auto"/>
        <w:ind w:firstLine="562" w:firstLineChars="20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二、评分标准中要求提供复印件的证明材料须清晰可辨</w:t>
      </w:r>
      <w:r>
        <w:rPr>
          <w:rFonts w:hint="eastAsia" w:ascii="仿宋" w:hAnsi="仿宋" w:eastAsia="仿宋" w:cs="仿宋"/>
          <w:b/>
          <w:color w:val="auto"/>
          <w:sz w:val="28"/>
          <w:szCs w:val="28"/>
          <w:highlight w:val="none"/>
          <w:lang w:eastAsia="zh-CN"/>
        </w:rPr>
        <w:t>。</w:t>
      </w:r>
    </w:p>
    <w:p>
      <w:pPr>
        <w:rPr>
          <w:rFonts w:hint="eastAsia" w:ascii="仿宋" w:hAnsi="仿宋" w:eastAsia="仿宋" w:cs="仿宋"/>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E"/>
    <w:multiLevelType w:val="multilevel"/>
    <w:tmpl w:val="0000002E"/>
    <w:lvl w:ilvl="0" w:tentative="0">
      <w:start w:val="1"/>
      <w:numFmt w:val="decimal"/>
      <w:pStyle w:val="4"/>
      <w:lvlText w:val="第%1章"/>
      <w:lvlJc w:val="left"/>
      <w:pPr>
        <w:ind w:left="283" w:hanging="425"/>
      </w:pPr>
      <w:rPr>
        <w:rFonts w:hint="default" w:ascii="Times New Roman" w:hAnsi="Times New Roman" w:eastAsia="宋体"/>
        <w:b/>
        <w:i w:val="0"/>
        <w:sz w:val="32"/>
        <w:szCs w:val="32"/>
      </w:rPr>
    </w:lvl>
    <w:lvl w:ilvl="1" w:tentative="0">
      <w:start w:val="1"/>
      <w:numFmt w:val="decimal"/>
      <w:pStyle w:val="5"/>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6"/>
      <w:suff w:val="space"/>
      <w:lvlText w:val="%1.%2.%3"/>
      <w:lvlJc w:val="left"/>
      <w:pPr>
        <w:ind w:left="3119"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91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YTliOWE3MTgzYjNlMWNlODVkMTE4OTQ3MWZjYmIifQ=="/>
    <w:docVar w:name="KSO_WPS_MARK_KEY" w:val="31bb1707-181a-4695-aea9-5f28e1e3c784"/>
  </w:docVars>
  <w:rsids>
    <w:rsidRoot w:val="00AA0899"/>
    <w:rsid w:val="00AA0899"/>
    <w:rsid w:val="033549D3"/>
    <w:rsid w:val="108017F6"/>
    <w:rsid w:val="2F1363BA"/>
    <w:rsid w:val="338E1685"/>
    <w:rsid w:val="41F92EF6"/>
    <w:rsid w:val="6B9D0A75"/>
    <w:rsid w:val="730A5647"/>
    <w:rsid w:val="75C21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numPr>
        <w:ilvl w:val="0"/>
        <w:numId w:val="1"/>
      </w:numPr>
      <w:spacing w:before="340" w:after="330" w:line="400" w:lineRule="exact"/>
      <w:jc w:val="center"/>
      <w:outlineLvl w:val="0"/>
    </w:pPr>
    <w:rPr>
      <w:rFonts w:ascii="宋体" w:hAnsi="宋体"/>
      <w:b/>
      <w:bCs/>
      <w:spacing w:val="-20"/>
      <w:kern w:val="44"/>
      <w:sz w:val="32"/>
      <w:szCs w:val="32"/>
    </w:rPr>
  </w:style>
  <w:style w:type="paragraph" w:styleId="5">
    <w:name w:val="heading 2"/>
    <w:basedOn w:val="1"/>
    <w:next w:val="1"/>
    <w:qFormat/>
    <w:uiPriority w:val="0"/>
    <w:pPr>
      <w:keepNext/>
      <w:keepLines/>
      <w:numPr>
        <w:ilvl w:val="1"/>
        <w:numId w:val="1"/>
      </w:numPr>
      <w:spacing w:before="260" w:after="260" w:line="360" w:lineRule="auto"/>
      <w:jc w:val="left"/>
      <w:outlineLvl w:val="1"/>
    </w:pPr>
    <w:rPr>
      <w:rFonts w:ascii="宋体" w:hAnsi="宋体"/>
      <w:b/>
      <w:bCs/>
      <w:sz w:val="28"/>
      <w:szCs w:val="28"/>
    </w:rPr>
  </w:style>
  <w:style w:type="paragraph" w:styleId="6">
    <w:name w:val="heading 3"/>
    <w:basedOn w:val="1"/>
    <w:next w:val="1"/>
    <w:qFormat/>
    <w:uiPriority w:val="0"/>
    <w:pPr>
      <w:keepNext/>
      <w:keepLines/>
      <w:numPr>
        <w:ilvl w:val="2"/>
        <w:numId w:val="1"/>
      </w:numPr>
      <w:spacing w:line="360" w:lineRule="auto"/>
      <w:outlineLvl w:val="2"/>
    </w:pPr>
    <w:rPr>
      <w:rFonts w:ascii="宋体" w:hAnsi="宋体"/>
      <w:b/>
      <w:bCs/>
      <w:color w:val="000000"/>
      <w:kern w:val="0"/>
      <w:sz w:val="28"/>
      <w:szCs w:val="28"/>
    </w:rPr>
  </w:style>
  <w:style w:type="paragraph" w:styleId="7">
    <w:name w:val="heading 4"/>
    <w:basedOn w:val="1"/>
    <w:next w:val="1"/>
    <w:qFormat/>
    <w:uiPriority w:val="0"/>
    <w:pPr>
      <w:keepNext/>
      <w:keepLines/>
      <w:spacing w:before="120" w:after="120" w:line="360" w:lineRule="auto"/>
      <w:ind w:left="918" w:hanging="708"/>
      <w:jc w:val="left"/>
      <w:outlineLvl w:val="3"/>
    </w:pPr>
    <w:rPr>
      <w:rFonts w:ascii="Arial" w:hAnsi="Arial"/>
      <w:b/>
      <w:bCs/>
      <w:kern w:val="0"/>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rPr>
      <w:rFonts w:ascii="Calibri" w:hAnsi="Calibri"/>
      <w:kern w:val="0"/>
      <w:sz w:val="20"/>
      <w:szCs w:val="20"/>
    </w:rPr>
  </w:style>
  <w:style w:type="paragraph" w:styleId="3">
    <w:name w:val="Body Text First Indent"/>
    <w:basedOn w:val="2"/>
    <w:next w:val="1"/>
    <w:qFormat/>
    <w:uiPriority w:val="0"/>
    <w:pPr>
      <w:ind w:firstLine="420" w:firstLineChars="100"/>
    </w:pPr>
    <w:rPr>
      <w:rFonts w:ascii="Times New Roman" w:hAnsi="Times New Roman"/>
      <w:sz w:val="18"/>
      <w:szCs w:val="18"/>
    </w:rPr>
  </w:style>
  <w:style w:type="paragraph" w:styleId="8">
    <w:name w:val="Normal Indent"/>
    <w:basedOn w:val="1"/>
    <w:qFormat/>
    <w:uiPriority w:val="0"/>
    <w:pPr>
      <w:spacing w:after="180" w:line="309" w:lineRule="auto"/>
      <w:ind w:firstLine="420"/>
    </w:pPr>
    <w:rPr>
      <w:szCs w:val="20"/>
    </w:rPr>
  </w:style>
  <w:style w:type="table" w:styleId="10">
    <w:name w:val="Table Grid"/>
    <w:basedOn w:val="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99"/>
    <w:pPr>
      <w:ind w:firstLine="420" w:firstLineChars="200"/>
    </w:pPr>
    <w:rPr>
      <w:rFonts w:ascii="Calibri" w:hAnsi="Calibri"/>
      <w:kern w:val="0"/>
      <w:sz w:val="20"/>
      <w:szCs w:val="20"/>
    </w:rPr>
  </w:style>
  <w:style w:type="character" w:customStyle="1" w:styleId="13">
    <w:name w:val="font41"/>
    <w:basedOn w:val="11"/>
    <w:qFormat/>
    <w:uiPriority w:val="0"/>
    <w:rPr>
      <w:rFonts w:hint="eastAsia" w:ascii="宋体" w:hAnsi="宋体" w:eastAsia="宋体" w:cs="宋体"/>
      <w:color w:val="333333"/>
      <w:sz w:val="22"/>
      <w:szCs w:val="22"/>
      <w:u w:val="none"/>
    </w:rPr>
  </w:style>
  <w:style w:type="character" w:customStyle="1" w:styleId="14">
    <w:name w:val="font11"/>
    <w:basedOn w:val="11"/>
    <w:qFormat/>
    <w:uiPriority w:val="0"/>
    <w:rPr>
      <w:rFonts w:hint="eastAsia" w:ascii="宋体" w:hAnsi="宋体" w:eastAsia="宋体" w:cs="宋体"/>
      <w:color w:val="000000"/>
      <w:sz w:val="22"/>
      <w:szCs w:val="22"/>
      <w:u w:val="none"/>
    </w:rPr>
  </w:style>
  <w:style w:type="character" w:customStyle="1" w:styleId="15">
    <w:name w:val="font21"/>
    <w:basedOn w:val="11"/>
    <w:qFormat/>
    <w:uiPriority w:val="0"/>
    <w:rPr>
      <w:rFonts w:hint="eastAsia" w:ascii="宋体" w:hAnsi="宋体" w:eastAsia="宋体" w:cs="宋体"/>
      <w:b/>
      <w:bCs/>
      <w:color w:val="333333"/>
      <w:sz w:val="22"/>
      <w:szCs w:val="22"/>
      <w:u w:val="none"/>
    </w:rPr>
  </w:style>
  <w:style w:type="paragraph" w:customStyle="1" w:styleId="16">
    <w:name w:val="正文首行缩进两字符"/>
    <w:basedOn w:val="1"/>
    <w:qFormat/>
    <w:uiPriority w:val="0"/>
    <w:pPr>
      <w:spacing w:line="360" w:lineRule="auto"/>
      <w:ind w:firstLine="200" w:firstLineChars="200"/>
    </w:pPr>
    <w:rPr>
      <w:kern w:val="0"/>
      <w:sz w:val="2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9408</Words>
  <Characters>11658</Characters>
  <Lines>0</Lines>
  <Paragraphs>0</Paragraphs>
  <TotalTime>21</TotalTime>
  <ScaleCrop>false</ScaleCrop>
  <LinksUpToDate>false</LinksUpToDate>
  <CharactersWithSpaces>11858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2025-05-08T02:24:00Z</dcterms:created>
  <dc:creator>1007</dc:creator>
  <cp:lastModifiedBy>Diana</cp:lastModifiedBy>
  <dcterms:modified xsi:type="dcterms:W3CDTF">2025-05-15T06:34:41Z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4060DF704AA6488BAA804ED1B32CD6D4_13</vt:lpwstr>
  </property>
  <property fmtid="{D5CDD505-2E9C-101B-9397-08002B2CF9AE}" pid="4" name="KSOTemplateDocerSaveRecord">
    <vt:lpwstr>eyJoZGlkIjoiYmZkYTUzZTBjN2RhNWFmMmE3YTFkMzcxOTkzMWUwMzQiLCJ1c2VySWQiOiI4MTIwMDYxNzEifQ==</vt:lpwstr>
  </property>
</Properties>
</file>