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8D31">
      <w:pPr>
        <w:spacing w:line="360" w:lineRule="auto"/>
        <w:ind w:firstLine="643" w:firstLineChars="200"/>
        <w:jc w:val="center"/>
        <w:rPr>
          <w:rFonts w:ascii="仿宋" w:hAnsi="仿宋" w:eastAsia="仿宋" w:cs="仿宋"/>
          <w:b/>
          <w:sz w:val="32"/>
          <w:szCs w:val="36"/>
          <w:highlight w:val="none"/>
        </w:rPr>
      </w:pPr>
      <w:r>
        <w:rPr>
          <w:rFonts w:hint="eastAsia" w:ascii="仿宋" w:hAnsi="仿宋" w:eastAsia="仿宋" w:cs="仿宋"/>
          <w:b/>
          <w:sz w:val="32"/>
          <w:szCs w:val="36"/>
          <w:highlight w:val="none"/>
        </w:rPr>
        <w:t>西华大学2</w:t>
      </w:r>
      <w:r>
        <w:rPr>
          <w:rFonts w:ascii="仿宋" w:hAnsi="仿宋" w:eastAsia="仿宋" w:cs="仿宋"/>
          <w:b/>
          <w:sz w:val="32"/>
          <w:szCs w:val="36"/>
          <w:highlight w:val="none"/>
        </w:rPr>
        <w:t>026</w:t>
      </w:r>
      <w:r>
        <w:rPr>
          <w:rFonts w:hint="eastAsia" w:ascii="仿宋" w:hAnsi="仿宋" w:eastAsia="仿宋" w:cs="仿宋"/>
          <w:b/>
          <w:sz w:val="32"/>
          <w:szCs w:val="36"/>
          <w:highlight w:val="none"/>
        </w:rPr>
        <w:t>年教学楼及公共区域专用清洁用品采购项目需求文件</w:t>
      </w:r>
    </w:p>
    <w:p w14:paraId="0EA06F97">
      <w:pPr>
        <w:spacing w:line="360" w:lineRule="auto"/>
        <w:ind w:firstLine="562" w:firstLineChars="200"/>
        <w:rPr>
          <w:rFonts w:ascii="仿宋" w:hAnsi="仿宋" w:eastAsia="仿宋" w:cs="仿宋"/>
          <w:b/>
          <w:highlight w:val="none"/>
        </w:rPr>
      </w:pPr>
      <w:r>
        <w:rPr>
          <w:rFonts w:hint="eastAsia" w:ascii="仿宋" w:hAnsi="仿宋" w:eastAsia="仿宋" w:cs="仿宋"/>
          <w:b/>
          <w:sz w:val="28"/>
          <w:szCs w:val="32"/>
          <w:highlight w:val="none"/>
        </w:rPr>
        <w:t>一、项目概况</w:t>
      </w:r>
      <w:r>
        <w:rPr>
          <w:rFonts w:hint="eastAsia" w:ascii="仿宋" w:hAnsi="仿宋" w:eastAsia="仿宋" w:cs="仿宋"/>
          <w:b/>
          <w:highlight w:val="none"/>
        </w:rPr>
        <w:t xml:space="preserve">  </w:t>
      </w:r>
    </w:p>
    <w:p w14:paraId="231D4BC5">
      <w:pPr>
        <w:keepNext w:val="0"/>
        <w:keepLines w:val="0"/>
        <w:pageBreakBefore w:val="0"/>
        <w:widowControl/>
        <w:kinsoku/>
        <w:wordWrap/>
        <w:overflowPunct/>
        <w:topLinePunct w:val="0"/>
        <w:autoSpaceDE/>
        <w:autoSpaceDN/>
        <w:bidi w:val="0"/>
        <w:adjustRightInd/>
        <w:snapToGrid/>
        <w:spacing w:after="0" w:line="360" w:lineRule="auto"/>
        <w:ind w:leftChars="0" w:firstLine="480" w:firstLineChars="200"/>
        <w:textAlignment w:val="auto"/>
        <w:rPr>
          <w:rFonts w:hint="eastAsia" w:ascii="仿宋" w:hAnsi="仿宋" w:eastAsia="仿宋" w:cs="仿宋"/>
          <w:bCs/>
          <w:color w:val="000000"/>
          <w:kern w:val="0"/>
          <w:sz w:val="24"/>
          <w:highlight w:val="none"/>
          <w:lang w:bidi="ar"/>
        </w:rPr>
      </w:pPr>
      <w:r>
        <w:rPr>
          <w:rFonts w:hint="eastAsia" w:ascii="仿宋" w:hAnsi="仿宋" w:eastAsia="仿宋" w:cs="仿宋"/>
          <w:bCs/>
          <w:color w:val="000000"/>
          <w:kern w:val="0"/>
          <w:sz w:val="24"/>
          <w:highlight w:val="none"/>
          <w:lang w:bidi="ar"/>
        </w:rPr>
        <w:t>为了给师生提供更加干净、舒适的环境，不断提升师生的幸福感和获得感，满足师生就厕卫生需求，西华大学计划实施“西华大学2</w:t>
      </w:r>
      <w:r>
        <w:rPr>
          <w:rFonts w:ascii="仿宋" w:hAnsi="仿宋" w:eastAsia="仿宋" w:cs="仿宋"/>
          <w:bCs/>
          <w:color w:val="000000"/>
          <w:kern w:val="0"/>
          <w:sz w:val="24"/>
          <w:highlight w:val="none"/>
          <w:lang w:bidi="ar"/>
        </w:rPr>
        <w:t>026</w:t>
      </w:r>
      <w:r>
        <w:rPr>
          <w:rFonts w:hint="eastAsia" w:ascii="仿宋" w:hAnsi="仿宋" w:eastAsia="仿宋" w:cs="仿宋"/>
          <w:bCs/>
          <w:color w:val="000000"/>
          <w:kern w:val="0"/>
          <w:sz w:val="24"/>
          <w:highlight w:val="none"/>
          <w:lang w:bidi="ar"/>
        </w:rPr>
        <w:t>年教学楼及公共区域专用清洁用品采购项目”，项目预算金额为</w:t>
      </w:r>
      <w:r>
        <w:rPr>
          <w:rFonts w:ascii="仿宋" w:hAnsi="仿宋" w:eastAsia="仿宋" w:cs="仿宋"/>
          <w:bCs/>
          <w:color w:val="000000"/>
          <w:kern w:val="0"/>
          <w:sz w:val="24"/>
          <w:highlight w:val="none"/>
          <w:lang w:bidi="ar"/>
        </w:rPr>
        <w:t>60</w:t>
      </w:r>
      <w:r>
        <w:rPr>
          <w:rFonts w:hint="eastAsia" w:ascii="仿宋" w:hAnsi="仿宋" w:eastAsia="仿宋" w:cs="仿宋"/>
          <w:bCs/>
          <w:color w:val="000000"/>
          <w:kern w:val="0"/>
          <w:sz w:val="24"/>
          <w:highlight w:val="none"/>
          <w:lang w:bidi="ar"/>
        </w:rPr>
        <w:t>万元。</w:t>
      </w:r>
    </w:p>
    <w:p w14:paraId="45738226">
      <w:pPr>
        <w:keepNext w:val="0"/>
        <w:keepLines w:val="0"/>
        <w:pageBreakBefore w:val="0"/>
        <w:widowControl/>
        <w:kinsoku/>
        <w:wordWrap/>
        <w:overflowPunct/>
        <w:topLinePunct w:val="0"/>
        <w:autoSpaceDE/>
        <w:autoSpaceDN/>
        <w:bidi w:val="0"/>
        <w:adjustRightInd/>
        <w:snapToGrid/>
        <w:spacing w:after="0" w:line="360" w:lineRule="auto"/>
        <w:ind w:leftChars="0" w:firstLine="480" w:firstLineChars="200"/>
        <w:textAlignment w:val="auto"/>
        <w:rPr>
          <w:rFonts w:hint="eastAsia" w:ascii="仿宋" w:hAnsi="仿宋" w:eastAsia="仿宋" w:cs="仿宋"/>
          <w:bCs/>
          <w:color w:val="000000"/>
          <w:kern w:val="0"/>
          <w:sz w:val="24"/>
          <w:highlight w:val="none"/>
          <w:lang w:bidi="ar"/>
        </w:rPr>
      </w:pPr>
      <w:r>
        <w:rPr>
          <w:rFonts w:hint="eastAsia" w:ascii="仿宋" w:hAnsi="仿宋" w:eastAsia="仿宋" w:cs="仿宋"/>
          <w:bCs/>
          <w:color w:val="000000"/>
          <w:kern w:val="0"/>
          <w:sz w:val="24"/>
          <w:highlight w:val="none"/>
          <w:lang w:val="en-US" w:eastAsia="zh-CN" w:bidi="ar"/>
        </w:rPr>
        <w:t>本项目不专门面向中小企业。</w:t>
      </w:r>
    </w:p>
    <w:p w14:paraId="7306A86C">
      <w:pPr>
        <w:spacing w:line="360" w:lineRule="auto"/>
        <w:ind w:firstLine="281" w:firstLineChars="100"/>
        <w:rPr>
          <w:rFonts w:ascii="仿宋" w:hAnsi="仿宋" w:eastAsia="仿宋" w:cs="仿宋"/>
          <w:b/>
          <w:sz w:val="28"/>
          <w:szCs w:val="32"/>
          <w:highlight w:val="none"/>
        </w:rPr>
      </w:pPr>
      <w:r>
        <w:rPr>
          <w:rFonts w:hint="eastAsia" w:ascii="仿宋" w:hAnsi="仿宋" w:eastAsia="仿宋" w:cs="仿宋"/>
          <w:b/>
          <w:sz w:val="28"/>
          <w:szCs w:val="32"/>
          <w:highlight w:val="none"/>
        </w:rPr>
        <w:t>二、投标供应商的资格要求</w:t>
      </w: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9"/>
        <w:gridCol w:w="1977"/>
        <w:gridCol w:w="5626"/>
      </w:tblGrid>
      <w:tr w14:paraId="1F3D10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61781E2F">
            <w:pPr>
              <w:jc w:val="center"/>
              <w:rPr>
                <w:rFonts w:ascii="仿宋" w:hAnsi="仿宋" w:eastAsia="仿宋" w:cs="仿宋"/>
                <w:b/>
                <w:highlight w:val="none"/>
              </w:rPr>
            </w:pPr>
            <w:r>
              <w:rPr>
                <w:rFonts w:hint="eastAsia" w:ascii="仿宋" w:hAnsi="仿宋" w:eastAsia="仿宋" w:cs="仿宋"/>
                <w:b/>
                <w:highlight w:val="none"/>
              </w:rPr>
              <w:t>序号</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582AE117">
            <w:pPr>
              <w:jc w:val="center"/>
              <w:rPr>
                <w:rFonts w:ascii="仿宋" w:hAnsi="仿宋" w:eastAsia="仿宋" w:cs="仿宋"/>
                <w:b/>
                <w:highlight w:val="none"/>
              </w:rPr>
            </w:pPr>
            <w:r>
              <w:rPr>
                <w:rFonts w:hint="eastAsia" w:ascii="仿宋" w:hAnsi="仿宋" w:eastAsia="仿宋" w:cs="仿宋"/>
                <w:b/>
                <w:highlight w:val="none"/>
              </w:rPr>
              <w:t>资格要求名称</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000A1E67">
            <w:pPr>
              <w:jc w:val="center"/>
              <w:rPr>
                <w:rFonts w:ascii="仿宋" w:hAnsi="仿宋" w:eastAsia="仿宋" w:cs="仿宋"/>
                <w:b/>
                <w:highlight w:val="none"/>
              </w:rPr>
            </w:pPr>
            <w:r>
              <w:rPr>
                <w:rFonts w:hint="eastAsia" w:ascii="仿宋" w:hAnsi="仿宋" w:eastAsia="仿宋" w:cs="仿宋"/>
                <w:b/>
                <w:highlight w:val="none"/>
              </w:rPr>
              <w:t>资格要求详细说明</w:t>
            </w:r>
          </w:p>
        </w:tc>
      </w:tr>
      <w:tr w14:paraId="267E6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04A4BE32">
            <w:pPr>
              <w:jc w:val="center"/>
              <w:rPr>
                <w:rFonts w:ascii="仿宋" w:hAnsi="仿宋" w:eastAsia="仿宋" w:cs="仿宋"/>
                <w:highlight w:val="none"/>
              </w:rPr>
            </w:pPr>
            <w:r>
              <w:rPr>
                <w:rFonts w:hint="eastAsia" w:ascii="仿宋" w:hAnsi="仿宋" w:eastAsia="仿宋" w:cs="仿宋"/>
                <w:highlight w:val="none"/>
              </w:rPr>
              <w:t>1</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3F213099">
            <w:pPr>
              <w:rPr>
                <w:rFonts w:ascii="仿宋" w:hAnsi="仿宋" w:eastAsia="仿宋" w:cs="仿宋"/>
                <w:highlight w:val="none"/>
              </w:rPr>
            </w:pPr>
            <w:r>
              <w:rPr>
                <w:rFonts w:hint="eastAsia" w:ascii="仿宋" w:hAnsi="仿宋" w:eastAsia="仿宋" w:cs="仿宋"/>
                <w:highlight w:val="none"/>
              </w:rPr>
              <w:t>投标人应具有独立承担民事责任的能力</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77522C67">
            <w:pPr>
              <w:rPr>
                <w:rFonts w:ascii="仿宋" w:hAnsi="仿宋" w:eastAsia="仿宋" w:cs="仿宋"/>
                <w:highlight w:val="none"/>
              </w:rPr>
            </w:pPr>
            <w:r>
              <w:rPr>
                <w:rFonts w:hint="eastAsia" w:ascii="仿宋" w:hAnsi="仿宋" w:eastAsia="仿宋" w:cs="仿宋"/>
                <w:highlight w:val="none"/>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3319C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5B71FED1">
            <w:pPr>
              <w:jc w:val="center"/>
              <w:rPr>
                <w:rFonts w:ascii="仿宋" w:hAnsi="仿宋" w:eastAsia="仿宋" w:cs="仿宋"/>
                <w:highlight w:val="none"/>
              </w:rPr>
            </w:pPr>
            <w:r>
              <w:rPr>
                <w:rFonts w:hint="eastAsia" w:ascii="仿宋" w:hAnsi="仿宋" w:eastAsia="仿宋" w:cs="仿宋"/>
                <w:highlight w:val="none"/>
              </w:rPr>
              <w:t>2</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3F4982C6">
            <w:pPr>
              <w:rPr>
                <w:rFonts w:ascii="仿宋" w:hAnsi="仿宋" w:eastAsia="仿宋" w:cs="仿宋"/>
                <w:highlight w:val="none"/>
              </w:rPr>
            </w:pPr>
            <w:r>
              <w:rPr>
                <w:rFonts w:hint="eastAsia" w:ascii="仿宋" w:hAnsi="仿宋" w:eastAsia="仿宋" w:cs="仿宋"/>
                <w:highlight w:val="none"/>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022AC086">
            <w:pPr>
              <w:rPr>
                <w:rFonts w:ascii="仿宋" w:hAnsi="仿宋" w:eastAsia="仿宋" w:cs="仿宋"/>
                <w:highlight w:val="none"/>
              </w:rPr>
            </w:pPr>
            <w:r>
              <w:rPr>
                <w:rFonts w:hint="eastAsia" w:ascii="仿宋" w:hAnsi="仿宋" w:eastAsia="仿宋" w:cs="仿宋"/>
                <w:highlight w:val="none"/>
              </w:rPr>
              <w:t xml:space="preserve">1.投标人具有良好的商业信誉的书面声明材料。 </w:t>
            </w:r>
          </w:p>
          <w:p w14:paraId="3D2878F2">
            <w:pPr>
              <w:rPr>
                <w:rFonts w:ascii="仿宋" w:hAnsi="仿宋" w:eastAsia="仿宋" w:cs="仿宋"/>
                <w:highlight w:val="none"/>
              </w:rPr>
            </w:pPr>
            <w:r>
              <w:rPr>
                <w:rFonts w:hint="eastAsia" w:ascii="仿宋" w:hAnsi="仿宋" w:eastAsia="仿宋" w:cs="仿宋"/>
                <w:highlight w:val="none"/>
              </w:rPr>
              <w:t>2.投标人参加政府采购活动前三年内，在经营活动中没有重大违法记录的书面声明材料；</w:t>
            </w:r>
          </w:p>
          <w:p w14:paraId="54B4B275">
            <w:pPr>
              <w:rPr>
                <w:rFonts w:ascii="仿宋" w:hAnsi="仿宋" w:eastAsia="仿宋" w:cs="仿宋"/>
                <w:highlight w:val="none"/>
              </w:rPr>
            </w:pPr>
            <w:r>
              <w:rPr>
                <w:rFonts w:hint="eastAsia" w:ascii="仿宋" w:hAnsi="仿宋" w:eastAsia="仿宋" w:cs="仿宋"/>
                <w:highlight w:val="none"/>
              </w:rPr>
              <w:t xml:space="preserve">3.投标人具有健全的财务会计制度的书面声明材料； </w:t>
            </w:r>
          </w:p>
          <w:p w14:paraId="332F1B7B">
            <w:pPr>
              <w:rPr>
                <w:rFonts w:ascii="仿宋" w:hAnsi="仿宋" w:eastAsia="仿宋" w:cs="仿宋"/>
                <w:highlight w:val="none"/>
              </w:rPr>
            </w:pPr>
            <w:r>
              <w:rPr>
                <w:rFonts w:hint="eastAsia" w:ascii="仿宋" w:hAnsi="仿宋" w:eastAsia="仿宋" w:cs="仿宋"/>
                <w:highlight w:val="none"/>
              </w:rPr>
              <w:t>4.投标人具有依法缴纳社会保障资金良好记录的书面声明材料；</w:t>
            </w:r>
          </w:p>
          <w:p w14:paraId="313E0385">
            <w:pPr>
              <w:rPr>
                <w:rFonts w:ascii="仿宋" w:hAnsi="仿宋" w:eastAsia="仿宋" w:cs="仿宋"/>
                <w:highlight w:val="none"/>
              </w:rPr>
            </w:pPr>
            <w:r>
              <w:rPr>
                <w:rFonts w:hint="eastAsia" w:ascii="仿宋" w:hAnsi="仿宋" w:eastAsia="仿宋" w:cs="仿宋"/>
                <w:highlight w:val="none"/>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bookmarkStart w:id="0" w:name="_GoBack"/>
            <w:bookmarkEnd w:id="0"/>
          </w:p>
        </w:tc>
      </w:tr>
      <w:tr w14:paraId="7E4034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7E7C8246">
            <w:pPr>
              <w:jc w:val="center"/>
              <w:rPr>
                <w:rFonts w:ascii="仿宋" w:hAnsi="仿宋" w:eastAsia="仿宋" w:cs="仿宋"/>
                <w:highlight w:val="none"/>
              </w:rPr>
            </w:pPr>
            <w:r>
              <w:rPr>
                <w:rFonts w:hint="eastAsia" w:ascii="仿宋" w:hAnsi="仿宋" w:eastAsia="仿宋" w:cs="仿宋"/>
                <w:highlight w:val="none"/>
              </w:rPr>
              <w:t>3</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099EBB15">
            <w:pPr>
              <w:rPr>
                <w:rFonts w:ascii="仿宋" w:hAnsi="仿宋" w:eastAsia="仿宋" w:cs="仿宋"/>
                <w:highlight w:val="none"/>
              </w:rPr>
            </w:pPr>
            <w:r>
              <w:rPr>
                <w:rFonts w:hint="eastAsia" w:ascii="仿宋" w:hAnsi="仿宋" w:eastAsia="仿宋" w:cs="仿宋"/>
                <w:highlight w:val="none"/>
              </w:rPr>
              <w:t>未被列入失信被执行人、重大税收违法案件当事人名单、政府采购严重违法失信行为记录名单</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297BCDA7">
            <w:pPr>
              <w:rPr>
                <w:rFonts w:ascii="仿宋" w:hAnsi="仿宋" w:eastAsia="仿宋" w:cs="仿宋"/>
                <w:highlight w:val="none"/>
              </w:rPr>
            </w:pPr>
            <w:r>
              <w:rPr>
                <w:rFonts w:hint="eastAsia" w:ascii="仿宋" w:hAnsi="仿宋" w:eastAsia="仿宋" w:cs="仿宋"/>
                <w:highlight w:val="none"/>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14:paraId="0D8D3BEA">
            <w:pPr>
              <w:rPr>
                <w:rFonts w:ascii="仿宋" w:hAnsi="仿宋" w:eastAsia="仿宋" w:cs="仿宋"/>
                <w:highlight w:val="none"/>
              </w:rPr>
            </w:pPr>
            <w:r>
              <w:rPr>
                <w:rFonts w:hint="eastAsia" w:ascii="仿宋" w:hAnsi="仿宋" w:eastAsia="仿宋" w:cs="仿宋"/>
                <w:highlight w:val="none"/>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3612F0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003D6B23">
            <w:pPr>
              <w:jc w:val="center"/>
              <w:rPr>
                <w:rFonts w:ascii="仿宋" w:hAnsi="仿宋" w:eastAsia="仿宋" w:cs="仿宋"/>
                <w:highlight w:val="none"/>
              </w:rPr>
            </w:pPr>
            <w:r>
              <w:rPr>
                <w:rFonts w:hint="eastAsia" w:ascii="仿宋" w:hAnsi="仿宋" w:eastAsia="仿宋" w:cs="仿宋"/>
                <w:highlight w:val="none"/>
              </w:rPr>
              <w:t>4</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4F43CB32">
            <w:pPr>
              <w:rPr>
                <w:rFonts w:ascii="仿宋" w:hAnsi="仿宋" w:eastAsia="仿宋" w:cs="仿宋"/>
                <w:highlight w:val="none"/>
              </w:rPr>
            </w:pPr>
            <w:r>
              <w:rPr>
                <w:rFonts w:hint="eastAsia" w:ascii="仿宋" w:hAnsi="仿宋" w:eastAsia="仿宋" w:cs="仿宋"/>
                <w:highlight w:val="none"/>
              </w:rPr>
              <w:t>未处于被行政部门禁止参与政府采购活动的期限内</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76D720D1">
            <w:pPr>
              <w:rPr>
                <w:rFonts w:ascii="仿宋" w:hAnsi="仿宋" w:eastAsia="仿宋" w:cs="仿宋"/>
                <w:highlight w:val="none"/>
              </w:rPr>
            </w:pPr>
            <w:r>
              <w:rPr>
                <w:rFonts w:hint="eastAsia" w:ascii="仿宋" w:hAnsi="仿宋" w:eastAsia="仿宋" w:cs="仿宋"/>
                <w:highlight w:val="none"/>
              </w:rPr>
              <w:t>投标人未处于被行政部门禁止参与政府采购活动的期限内。 【说明：①投标人按招标文件要求提供书面声明材料；②投标人未处于被行政部门禁止参与政府采购活动的期限内。】</w:t>
            </w:r>
          </w:p>
        </w:tc>
      </w:tr>
      <w:tr w14:paraId="435110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0FA07095">
            <w:pPr>
              <w:jc w:val="center"/>
              <w:rPr>
                <w:rFonts w:ascii="仿宋" w:hAnsi="仿宋" w:eastAsia="仿宋" w:cs="仿宋"/>
                <w:highlight w:val="none"/>
              </w:rPr>
            </w:pPr>
            <w:r>
              <w:rPr>
                <w:rFonts w:hint="eastAsia" w:ascii="仿宋" w:hAnsi="仿宋" w:eastAsia="仿宋" w:cs="仿宋"/>
                <w:highlight w:val="none"/>
              </w:rPr>
              <w:t>5</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190BCC10">
            <w:pPr>
              <w:rPr>
                <w:rFonts w:ascii="仿宋" w:hAnsi="仿宋" w:eastAsia="仿宋" w:cs="仿宋"/>
                <w:highlight w:val="none"/>
              </w:rPr>
            </w:pPr>
            <w:r>
              <w:rPr>
                <w:rFonts w:hint="eastAsia" w:ascii="仿宋" w:hAnsi="仿宋" w:eastAsia="仿宋" w:cs="仿宋"/>
                <w:highlight w:val="none"/>
              </w:rPr>
              <w:t>行贿犯罪记录</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74A043AC">
            <w:pPr>
              <w:rPr>
                <w:rFonts w:ascii="仿宋" w:hAnsi="仿宋" w:eastAsia="仿宋" w:cs="仿宋"/>
                <w:highlight w:val="none"/>
              </w:rPr>
            </w:pPr>
            <w:r>
              <w:rPr>
                <w:rFonts w:hint="eastAsia" w:ascii="仿宋" w:hAnsi="仿宋" w:eastAsia="仿宋" w:cs="仿宋"/>
                <w:highlight w:val="none"/>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526670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17FB7123">
            <w:pPr>
              <w:jc w:val="center"/>
              <w:rPr>
                <w:rFonts w:ascii="仿宋" w:hAnsi="仿宋" w:eastAsia="仿宋" w:cs="仿宋"/>
                <w:highlight w:val="none"/>
              </w:rPr>
            </w:pPr>
            <w:r>
              <w:rPr>
                <w:rFonts w:hint="eastAsia" w:ascii="仿宋" w:hAnsi="仿宋" w:eastAsia="仿宋" w:cs="仿宋"/>
                <w:highlight w:val="none"/>
              </w:rPr>
              <w:t>6</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242FFCB8">
            <w:pPr>
              <w:rPr>
                <w:rFonts w:ascii="仿宋" w:hAnsi="仿宋" w:eastAsia="仿宋" w:cs="仿宋"/>
                <w:highlight w:val="none"/>
              </w:rPr>
            </w:pPr>
            <w:r>
              <w:rPr>
                <w:rFonts w:hint="eastAsia" w:ascii="仿宋" w:hAnsi="仿宋" w:eastAsia="仿宋" w:cs="仿宋"/>
                <w:highlight w:val="none"/>
              </w:rPr>
              <w:t>单位负责人为同一人或者存在直接控股、管理关系的不同供应商，不得参加同一项目的投标</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5FFEF0BD">
            <w:pPr>
              <w:rPr>
                <w:rFonts w:ascii="仿宋" w:hAnsi="仿宋" w:eastAsia="仿宋" w:cs="仿宋"/>
                <w:highlight w:val="none"/>
              </w:rPr>
            </w:pPr>
            <w:r>
              <w:rPr>
                <w:rFonts w:hint="eastAsia" w:ascii="仿宋" w:hAnsi="仿宋" w:eastAsia="仿宋" w:cs="仿宋"/>
                <w:highlight w:val="none"/>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76A2FE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71"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3F0828DE">
            <w:pPr>
              <w:jc w:val="center"/>
              <w:rPr>
                <w:rFonts w:ascii="仿宋" w:hAnsi="仿宋" w:eastAsia="仿宋" w:cs="仿宋"/>
                <w:highlight w:val="none"/>
              </w:rPr>
            </w:pPr>
            <w:r>
              <w:rPr>
                <w:rFonts w:hint="eastAsia" w:ascii="仿宋" w:hAnsi="仿宋" w:eastAsia="仿宋" w:cs="仿宋"/>
                <w:highlight w:val="none"/>
              </w:rPr>
              <w:t>7</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37149987">
            <w:pPr>
              <w:rPr>
                <w:rFonts w:ascii="仿宋" w:hAnsi="仿宋" w:eastAsia="仿宋" w:cs="仿宋"/>
                <w:highlight w:val="none"/>
              </w:rPr>
            </w:pPr>
            <w:r>
              <w:rPr>
                <w:rFonts w:hint="eastAsia" w:ascii="仿宋" w:hAnsi="仿宋" w:eastAsia="仿宋" w:cs="仿宋"/>
                <w:highlight w:val="none"/>
              </w:rPr>
              <w:t>投标文件签章</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2C529175">
            <w:pPr>
              <w:rPr>
                <w:rFonts w:ascii="仿宋" w:hAnsi="仿宋" w:eastAsia="仿宋" w:cs="仿宋"/>
                <w:highlight w:val="none"/>
              </w:rPr>
            </w:pPr>
            <w:r>
              <w:rPr>
                <w:rFonts w:hint="eastAsia" w:ascii="仿宋" w:hAnsi="仿宋" w:eastAsia="仿宋" w:cs="仿宋"/>
                <w:highlight w:val="none"/>
              </w:rPr>
              <w:t>投标文件加盖有投标人（法定名称）电子签章。【说明：无须提供证明材料，上传空白页即可，不对本项上传的材料作资格审查】</w:t>
            </w:r>
          </w:p>
        </w:tc>
      </w:tr>
      <w:tr w14:paraId="304E6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661AF0F6">
            <w:pPr>
              <w:jc w:val="center"/>
              <w:rPr>
                <w:rFonts w:ascii="仿宋" w:hAnsi="仿宋" w:eastAsia="仿宋" w:cs="仿宋"/>
                <w:highlight w:val="none"/>
              </w:rPr>
            </w:pPr>
            <w:r>
              <w:rPr>
                <w:rFonts w:hint="eastAsia" w:ascii="仿宋" w:hAnsi="仿宋" w:eastAsia="仿宋" w:cs="仿宋"/>
                <w:highlight w:val="none"/>
              </w:rPr>
              <w:t>8</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329AFAFD">
            <w:pPr>
              <w:rPr>
                <w:rFonts w:ascii="仿宋" w:hAnsi="仿宋" w:eastAsia="仿宋" w:cs="仿宋"/>
                <w:highlight w:val="none"/>
              </w:rPr>
            </w:pPr>
            <w:r>
              <w:rPr>
                <w:rFonts w:hint="eastAsia" w:ascii="仿宋" w:hAnsi="仿宋" w:eastAsia="仿宋" w:cs="仿宋"/>
                <w:highlight w:val="none"/>
              </w:rPr>
              <w:t>投标文件资格响应文件的语言</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7E9B8BC8">
            <w:pPr>
              <w:rPr>
                <w:rFonts w:ascii="仿宋" w:hAnsi="仿宋" w:eastAsia="仿宋" w:cs="仿宋"/>
                <w:highlight w:val="none"/>
              </w:rPr>
            </w:pPr>
            <w:r>
              <w:rPr>
                <w:rFonts w:hint="eastAsia" w:ascii="仿宋" w:hAnsi="仿宋" w:eastAsia="仿宋" w:cs="仿宋"/>
                <w:highlight w:val="none"/>
              </w:rPr>
              <w:t>语言符合招标文件的要求。 【说明：投标人无须提供证明材料，上传空白页即可，不对本项上传的材料作资格审查】</w:t>
            </w:r>
          </w:p>
        </w:tc>
      </w:tr>
      <w:tr w14:paraId="440A25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6"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4B36DD3D">
            <w:pPr>
              <w:jc w:val="center"/>
              <w:rPr>
                <w:rFonts w:ascii="仿宋" w:hAnsi="仿宋" w:eastAsia="仿宋" w:cs="仿宋"/>
                <w:highlight w:val="none"/>
              </w:rPr>
            </w:pPr>
            <w:r>
              <w:rPr>
                <w:rFonts w:hint="eastAsia" w:ascii="仿宋" w:hAnsi="仿宋" w:eastAsia="仿宋" w:cs="仿宋"/>
                <w:highlight w:val="none"/>
              </w:rPr>
              <w:t>9</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12D25D42">
            <w:pPr>
              <w:rPr>
                <w:rFonts w:ascii="仿宋" w:hAnsi="仿宋" w:eastAsia="仿宋" w:cs="仿宋"/>
                <w:highlight w:val="none"/>
              </w:rPr>
            </w:pPr>
            <w:r>
              <w:rPr>
                <w:rFonts w:hint="eastAsia" w:ascii="仿宋" w:hAnsi="仿宋" w:eastAsia="仿宋" w:cs="仿宋"/>
                <w:highlight w:val="none"/>
              </w:rPr>
              <w:t>法律、行政法规规定的其他条件</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2B505643">
            <w:pPr>
              <w:rPr>
                <w:rFonts w:ascii="仿宋" w:hAnsi="仿宋" w:eastAsia="仿宋" w:cs="仿宋"/>
                <w:highlight w:val="none"/>
              </w:rPr>
            </w:pPr>
            <w:r>
              <w:rPr>
                <w:rFonts w:hint="eastAsia" w:ascii="仿宋" w:hAnsi="仿宋" w:eastAsia="仿宋" w:cs="仿宋"/>
                <w:highlight w:val="none"/>
              </w:rPr>
              <w:t>采购人对法律、行政法规规定的其他条件无其他特殊要求，投标人可不提供证明材料。 【说明：投标人无须提供证明材料，上传空白页即可，不对本项上传的材料作资格审查】</w:t>
            </w:r>
          </w:p>
        </w:tc>
      </w:tr>
      <w:tr w14:paraId="5E489E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7" w:hRule="atLeast"/>
          <w:jc w:val="center"/>
        </w:trPr>
        <w:tc>
          <w:tcPr>
            <w:tcW w:w="432" w:type="pct"/>
            <w:tcBorders>
              <w:top w:val="outset" w:color="auto" w:sz="6" w:space="0"/>
              <w:left w:val="outset" w:color="auto" w:sz="6" w:space="0"/>
              <w:bottom w:val="outset" w:color="auto" w:sz="6" w:space="0"/>
              <w:right w:val="outset" w:color="auto" w:sz="6" w:space="0"/>
            </w:tcBorders>
            <w:shd w:val="clear" w:color="auto" w:fill="FFFFFF"/>
            <w:vAlign w:val="center"/>
          </w:tcPr>
          <w:p w14:paraId="5449AAD2">
            <w:pPr>
              <w:jc w:val="center"/>
              <w:rPr>
                <w:rFonts w:ascii="仿宋" w:hAnsi="仿宋" w:eastAsia="仿宋" w:cs="仿宋"/>
                <w:highlight w:val="none"/>
              </w:rPr>
            </w:pPr>
            <w:r>
              <w:rPr>
                <w:rFonts w:hint="eastAsia" w:ascii="仿宋" w:hAnsi="仿宋" w:eastAsia="仿宋" w:cs="仿宋"/>
                <w:highlight w:val="none"/>
              </w:rPr>
              <w:t>10</w:t>
            </w:r>
          </w:p>
        </w:tc>
        <w:tc>
          <w:tcPr>
            <w:tcW w:w="1188" w:type="pct"/>
            <w:tcBorders>
              <w:top w:val="outset" w:color="auto" w:sz="6" w:space="0"/>
              <w:left w:val="outset" w:color="auto" w:sz="6" w:space="0"/>
              <w:bottom w:val="outset" w:color="auto" w:sz="6" w:space="0"/>
              <w:right w:val="outset" w:color="auto" w:sz="6" w:space="0"/>
            </w:tcBorders>
            <w:shd w:val="clear" w:color="auto" w:fill="FFFFFF"/>
            <w:vAlign w:val="center"/>
          </w:tcPr>
          <w:p w14:paraId="292B224B">
            <w:pPr>
              <w:rPr>
                <w:rFonts w:ascii="仿宋" w:hAnsi="仿宋" w:eastAsia="仿宋" w:cs="仿宋"/>
                <w:highlight w:val="none"/>
              </w:rPr>
            </w:pPr>
            <w:r>
              <w:rPr>
                <w:rFonts w:hint="eastAsia" w:ascii="仿宋" w:hAnsi="仿宋" w:eastAsia="仿宋" w:cs="仿宋"/>
                <w:highlight w:val="none"/>
              </w:rPr>
              <w:t>不属于国家相关法律法规规定的其他禁止参加投标的情形</w:t>
            </w:r>
          </w:p>
        </w:tc>
        <w:tc>
          <w:tcPr>
            <w:tcW w:w="3380" w:type="pct"/>
            <w:tcBorders>
              <w:top w:val="outset" w:color="auto" w:sz="6" w:space="0"/>
              <w:left w:val="outset" w:color="auto" w:sz="6" w:space="0"/>
              <w:bottom w:val="outset" w:color="auto" w:sz="6" w:space="0"/>
              <w:right w:val="outset" w:color="auto" w:sz="6" w:space="0"/>
            </w:tcBorders>
            <w:shd w:val="clear" w:color="auto" w:fill="FFFFFF"/>
            <w:vAlign w:val="center"/>
          </w:tcPr>
          <w:p w14:paraId="76CF4F37">
            <w:pPr>
              <w:rPr>
                <w:rFonts w:ascii="仿宋" w:hAnsi="仿宋" w:eastAsia="仿宋" w:cs="仿宋"/>
                <w:highlight w:val="none"/>
              </w:rPr>
            </w:pPr>
            <w:r>
              <w:rPr>
                <w:rFonts w:hint="eastAsia" w:ascii="仿宋" w:hAnsi="仿宋" w:eastAsia="仿宋" w:cs="仿宋"/>
                <w:highlight w:val="none"/>
              </w:rPr>
              <w:t>1.根据招标文件的要求不属于禁止参加投标或投标无效的供应商；</w:t>
            </w:r>
          </w:p>
          <w:p w14:paraId="0A1EE51F">
            <w:pPr>
              <w:rPr>
                <w:rFonts w:ascii="仿宋" w:hAnsi="仿宋" w:eastAsia="仿宋" w:cs="仿宋"/>
                <w:highlight w:val="none"/>
              </w:rPr>
            </w:pPr>
            <w:r>
              <w:rPr>
                <w:rFonts w:hint="eastAsia" w:ascii="仿宋" w:hAnsi="仿宋" w:eastAsia="仿宋" w:cs="仿宋"/>
                <w:highlight w:val="none"/>
              </w:rPr>
              <w:t>2.资格审查小组未发现或者未知晓投标人存在属于国家相关法律法规规定的禁止参加投标或投标无效的供应商。 【说明：投标人无须提供证明材料，上传空白页即可，不对本项上传的材料作资格审查】</w:t>
            </w:r>
          </w:p>
        </w:tc>
      </w:tr>
    </w:tbl>
    <w:p w14:paraId="22FDC51F">
      <w:pPr>
        <w:rPr>
          <w:rFonts w:ascii="仿宋" w:hAnsi="仿宋" w:eastAsia="仿宋" w:cs="仿宋"/>
          <w:highlight w:val="none"/>
        </w:rPr>
      </w:pPr>
      <w:r>
        <w:rPr>
          <w:rFonts w:hint="eastAsia" w:ascii="仿宋" w:hAnsi="仿宋" w:eastAsia="仿宋" w:cs="仿宋"/>
          <w:highlight w:val="none"/>
        </w:rPr>
        <w:t>其他资格要求：无。</w:t>
      </w:r>
    </w:p>
    <w:p w14:paraId="7C800CA7">
      <w:pPr>
        <w:spacing w:line="360" w:lineRule="auto"/>
        <w:rPr>
          <w:rFonts w:ascii="仿宋" w:hAnsi="仿宋" w:eastAsia="仿宋" w:cs="仿宋"/>
          <w:b/>
          <w:sz w:val="28"/>
          <w:szCs w:val="32"/>
          <w:highlight w:val="none"/>
        </w:rPr>
      </w:pPr>
      <w:r>
        <w:rPr>
          <w:rFonts w:hint="eastAsia" w:ascii="仿宋" w:hAnsi="仿宋" w:eastAsia="仿宋" w:cs="仿宋"/>
          <w:b/>
          <w:sz w:val="28"/>
          <w:szCs w:val="32"/>
          <w:highlight w:val="none"/>
        </w:rPr>
        <w:t>三、主要技术要求与标准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49"/>
        <w:gridCol w:w="4721"/>
        <w:gridCol w:w="992"/>
        <w:gridCol w:w="1185"/>
      </w:tblGrid>
      <w:tr w14:paraId="5931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96" w:type="pct"/>
            <w:vAlign w:val="center"/>
          </w:tcPr>
          <w:p w14:paraId="57724D11">
            <w:pPr>
              <w:adjustRightInd w:val="0"/>
              <w:snapToGrid w:val="0"/>
              <w:jc w:val="center"/>
              <w:rPr>
                <w:rFonts w:ascii="仿宋" w:hAnsi="仿宋" w:eastAsia="仿宋" w:cs="仿宋"/>
                <w:b/>
                <w:kern w:val="0"/>
                <w:sz w:val="20"/>
                <w:szCs w:val="20"/>
                <w:highlight w:val="none"/>
              </w:rPr>
            </w:pPr>
            <w:r>
              <w:rPr>
                <w:rFonts w:hint="eastAsia" w:ascii="仿宋" w:hAnsi="仿宋" w:eastAsia="仿宋" w:cs="仿宋"/>
                <w:b/>
                <w:kern w:val="0"/>
                <w:sz w:val="20"/>
                <w:szCs w:val="20"/>
                <w:highlight w:val="none"/>
              </w:rPr>
              <w:t>序号</w:t>
            </w:r>
          </w:p>
        </w:tc>
        <w:tc>
          <w:tcPr>
            <w:tcW w:w="557" w:type="pct"/>
            <w:vAlign w:val="center"/>
          </w:tcPr>
          <w:p w14:paraId="57035C51">
            <w:pPr>
              <w:adjustRightInd w:val="0"/>
              <w:snapToGrid w:val="0"/>
              <w:jc w:val="center"/>
              <w:rPr>
                <w:rFonts w:ascii="仿宋" w:hAnsi="仿宋" w:eastAsia="仿宋" w:cs="仿宋"/>
                <w:b/>
                <w:kern w:val="0"/>
                <w:sz w:val="20"/>
                <w:szCs w:val="20"/>
                <w:highlight w:val="none"/>
              </w:rPr>
            </w:pPr>
            <w:r>
              <w:rPr>
                <w:rFonts w:hint="eastAsia" w:ascii="仿宋" w:hAnsi="仿宋" w:eastAsia="仿宋" w:cs="仿宋"/>
                <w:b/>
                <w:kern w:val="0"/>
                <w:sz w:val="20"/>
                <w:szCs w:val="20"/>
                <w:highlight w:val="none"/>
              </w:rPr>
              <w:t>品目</w:t>
            </w:r>
          </w:p>
        </w:tc>
        <w:tc>
          <w:tcPr>
            <w:tcW w:w="2770" w:type="pct"/>
            <w:vAlign w:val="center"/>
          </w:tcPr>
          <w:p w14:paraId="36F972C8">
            <w:pPr>
              <w:adjustRightInd w:val="0"/>
              <w:snapToGrid w:val="0"/>
              <w:jc w:val="center"/>
              <w:rPr>
                <w:rFonts w:ascii="仿宋" w:hAnsi="仿宋" w:eastAsia="仿宋" w:cs="仿宋"/>
                <w:b/>
                <w:kern w:val="0"/>
                <w:sz w:val="20"/>
                <w:szCs w:val="20"/>
                <w:highlight w:val="none"/>
              </w:rPr>
            </w:pPr>
            <w:r>
              <w:rPr>
                <w:rFonts w:hint="eastAsia" w:ascii="仿宋" w:hAnsi="仿宋" w:eastAsia="仿宋" w:cs="仿宋"/>
                <w:b/>
                <w:kern w:val="0"/>
                <w:sz w:val="20"/>
                <w:szCs w:val="20"/>
                <w:highlight w:val="none"/>
              </w:rPr>
              <w:t>规格型号</w:t>
            </w:r>
          </w:p>
        </w:tc>
        <w:tc>
          <w:tcPr>
            <w:tcW w:w="582" w:type="pct"/>
            <w:vAlign w:val="center"/>
          </w:tcPr>
          <w:p w14:paraId="1AB536F4">
            <w:pPr>
              <w:adjustRightInd w:val="0"/>
              <w:snapToGrid w:val="0"/>
              <w:jc w:val="center"/>
              <w:rPr>
                <w:rFonts w:ascii="仿宋" w:hAnsi="仿宋" w:eastAsia="仿宋" w:cs="仿宋"/>
                <w:b/>
                <w:kern w:val="0"/>
                <w:sz w:val="20"/>
                <w:szCs w:val="20"/>
                <w:highlight w:val="none"/>
              </w:rPr>
            </w:pPr>
            <w:r>
              <w:rPr>
                <w:rFonts w:hint="eastAsia" w:ascii="仿宋" w:hAnsi="仿宋" w:eastAsia="仿宋" w:cs="仿宋"/>
                <w:b/>
                <w:kern w:val="0"/>
                <w:sz w:val="20"/>
                <w:szCs w:val="20"/>
                <w:highlight w:val="none"/>
              </w:rPr>
              <w:t>单位</w:t>
            </w:r>
          </w:p>
        </w:tc>
        <w:tc>
          <w:tcPr>
            <w:tcW w:w="695" w:type="pct"/>
            <w:vAlign w:val="center"/>
          </w:tcPr>
          <w:p w14:paraId="3509EF61">
            <w:pPr>
              <w:adjustRightInd w:val="0"/>
              <w:snapToGrid w:val="0"/>
              <w:jc w:val="center"/>
              <w:rPr>
                <w:rFonts w:ascii="仿宋" w:hAnsi="仿宋" w:eastAsia="仿宋" w:cs="仿宋"/>
                <w:b/>
                <w:kern w:val="0"/>
                <w:sz w:val="20"/>
                <w:szCs w:val="20"/>
                <w:highlight w:val="none"/>
              </w:rPr>
            </w:pPr>
            <w:r>
              <w:rPr>
                <w:rFonts w:hint="eastAsia" w:ascii="仿宋" w:hAnsi="仿宋" w:eastAsia="仿宋" w:cs="仿宋"/>
                <w:b/>
                <w:kern w:val="0"/>
                <w:sz w:val="20"/>
                <w:szCs w:val="20"/>
                <w:highlight w:val="none"/>
              </w:rPr>
              <w:t>控制单价（元/包）</w:t>
            </w:r>
          </w:p>
        </w:tc>
      </w:tr>
      <w:tr w14:paraId="09B2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6" w:type="pct"/>
            <w:vAlign w:val="center"/>
          </w:tcPr>
          <w:p w14:paraId="4F987313">
            <w:pPr>
              <w:adjustRightInd w:val="0"/>
              <w:snapToGrid w:val="0"/>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557" w:type="pct"/>
            <w:shd w:val="clear" w:color="auto" w:fill="auto"/>
            <w:vAlign w:val="center"/>
          </w:tcPr>
          <w:p w14:paraId="26838A14">
            <w:pPr>
              <w:widowControl/>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大卷纸</w:t>
            </w:r>
          </w:p>
        </w:tc>
        <w:tc>
          <w:tcPr>
            <w:tcW w:w="2770" w:type="pct"/>
            <w:shd w:val="clear" w:color="auto" w:fill="auto"/>
          </w:tcPr>
          <w:p w14:paraId="6B501B30">
            <w:pPr>
              <w:rPr>
                <w:rFonts w:ascii="仿宋" w:hAnsi="仿宋" w:eastAsia="仿宋" w:cs="仿宋"/>
                <w:highlight w:val="none"/>
              </w:rPr>
            </w:pPr>
            <w:r>
              <w:rPr>
                <w:rFonts w:ascii="仿宋" w:hAnsi="仿宋" w:eastAsia="仿宋" w:cs="仿宋"/>
                <w:highlight w:val="none"/>
              </w:rPr>
              <w:t>1.单卷重量≥600g；</w:t>
            </w:r>
            <w:r>
              <w:rPr>
                <w:rFonts w:ascii="仿宋" w:hAnsi="仿宋" w:eastAsia="仿宋" w:cs="仿宋"/>
                <w:highlight w:val="none"/>
              </w:rPr>
              <w:br w:type="textWrapping"/>
            </w:r>
            <w:r>
              <w:rPr>
                <w:rFonts w:ascii="仿宋" w:hAnsi="仿宋" w:eastAsia="仿宋" w:cs="仿宋"/>
                <w:highlight w:val="none"/>
              </w:rPr>
              <w:t>2.单节规格：94×115mm±5mm；</w:t>
            </w:r>
            <w:r>
              <w:rPr>
                <w:rFonts w:ascii="仿宋" w:hAnsi="仿宋" w:eastAsia="仿宋" w:cs="仿宋"/>
                <w:highlight w:val="none"/>
              </w:rPr>
              <w:br w:type="textWrapping"/>
            </w:r>
            <w:r>
              <w:rPr>
                <w:rFonts w:ascii="仿宋" w:hAnsi="仿宋" w:eastAsia="仿宋" w:cs="仿宋"/>
                <w:highlight w:val="none"/>
              </w:rPr>
              <w:t>3.纸芯的重量≤45g；</w:t>
            </w:r>
            <w:r>
              <w:rPr>
                <w:rFonts w:ascii="仿宋" w:hAnsi="仿宋" w:eastAsia="仿宋" w:cs="仿宋"/>
                <w:highlight w:val="none"/>
              </w:rPr>
              <w:br w:type="textWrapping"/>
            </w:r>
            <w:r>
              <w:rPr>
                <w:rFonts w:ascii="仿宋" w:hAnsi="仿宋" w:eastAsia="仿宋" w:cs="仿宋"/>
                <w:highlight w:val="none"/>
              </w:rPr>
              <w:t>4.卷纸芯直径≤8cm，卷纸直径≤22cm；</w:t>
            </w:r>
          </w:p>
          <w:p w14:paraId="7B3000A3">
            <w:pPr>
              <w:rPr>
                <w:rFonts w:ascii="仿宋" w:hAnsi="仿宋" w:eastAsia="仿宋" w:cs="仿宋"/>
                <w:highlight w:val="none"/>
              </w:rPr>
            </w:pPr>
            <w:r>
              <w:rPr>
                <w:rFonts w:ascii="仿宋" w:hAnsi="仿宋" w:eastAsia="仿宋" w:cs="仿宋"/>
                <w:highlight w:val="none"/>
              </w:rPr>
              <w:t>5.材质：原生木浆，3层；</w:t>
            </w:r>
          </w:p>
          <w:p w14:paraId="7B956552">
            <w:pPr>
              <w:rPr>
                <w:rFonts w:ascii="仿宋" w:hAnsi="仿宋" w:eastAsia="仿宋" w:cs="仿宋"/>
                <w:highlight w:val="none"/>
              </w:rPr>
            </w:pPr>
            <w:r>
              <w:rPr>
                <w:rFonts w:ascii="仿宋" w:hAnsi="仿宋" w:eastAsia="仿宋" w:cs="仿宋"/>
                <w:highlight w:val="none"/>
              </w:rPr>
              <w:t>6.质量等级：一等品及以上；</w:t>
            </w:r>
          </w:p>
          <w:p w14:paraId="2D5D0196">
            <w:pPr>
              <w:rPr>
                <w:rFonts w:ascii="仿宋" w:hAnsi="仿宋" w:eastAsia="仿宋" w:cs="仿宋"/>
                <w:highlight w:val="none"/>
              </w:rPr>
            </w:pPr>
            <w:r>
              <w:rPr>
                <w:rFonts w:ascii="仿宋" w:hAnsi="仿宋" w:eastAsia="仿宋" w:cs="仿宋"/>
                <w:highlight w:val="none"/>
              </w:rPr>
              <w:t>7.可分散性：合格；</w:t>
            </w:r>
          </w:p>
          <w:p w14:paraId="6412A8A3">
            <w:pPr>
              <w:rPr>
                <w:rFonts w:ascii="仿宋" w:hAnsi="仿宋" w:eastAsia="仿宋" w:cs="仿宋"/>
                <w:highlight w:val="none"/>
              </w:rPr>
            </w:pPr>
            <w:r>
              <w:rPr>
                <w:rFonts w:ascii="仿宋" w:hAnsi="仿宋" w:eastAsia="仿宋" w:cs="仿宋"/>
                <w:highlight w:val="none"/>
              </w:rPr>
              <w:t>8.定量：16.0±1.0g/㎡；</w:t>
            </w:r>
          </w:p>
          <w:p w14:paraId="3ADC6A8E">
            <w:pPr>
              <w:rPr>
                <w:rFonts w:ascii="仿宋" w:hAnsi="仿宋" w:eastAsia="仿宋" w:cs="仿宋"/>
                <w:highlight w:val="none"/>
              </w:rPr>
            </w:pPr>
            <w:r>
              <w:rPr>
                <w:rFonts w:ascii="仿宋" w:hAnsi="仿宋" w:eastAsia="仿宋" w:cs="仿宋"/>
                <w:highlight w:val="none"/>
              </w:rPr>
              <w:t>9.抗张指数：纵向：≥4.50N.m/g，横向：≥2.00N.m/g；</w:t>
            </w:r>
          </w:p>
          <w:p w14:paraId="34F08E4C">
            <w:pPr>
              <w:rPr>
                <w:rFonts w:ascii="仿宋" w:hAnsi="仿宋" w:eastAsia="仿宋" w:cs="仿宋"/>
                <w:highlight w:val="none"/>
              </w:rPr>
            </w:pPr>
            <w:r>
              <w:rPr>
                <w:rFonts w:ascii="仿宋" w:hAnsi="仿宋" w:eastAsia="仿宋" w:cs="仿宋"/>
                <w:highlight w:val="none"/>
              </w:rPr>
              <w:t>10.横向吸液高度(成品层)≥40mm/100s；</w:t>
            </w:r>
          </w:p>
          <w:p w14:paraId="0B8FC2BE">
            <w:pPr>
              <w:rPr>
                <w:rFonts w:ascii="仿宋" w:hAnsi="仿宋" w:eastAsia="仿宋" w:cs="仿宋"/>
                <w:highlight w:val="none"/>
              </w:rPr>
            </w:pPr>
            <w:r>
              <w:rPr>
                <w:rFonts w:ascii="仿宋" w:hAnsi="仿宋" w:eastAsia="仿宋" w:cs="仿宋"/>
                <w:highlight w:val="none"/>
              </w:rPr>
              <w:t>11.尘埃度：总数≤20个/㎡；</w:t>
            </w:r>
          </w:p>
          <w:p w14:paraId="252EB14A">
            <w:pPr>
              <w:rPr>
                <w:rFonts w:ascii="仿宋" w:hAnsi="仿宋" w:eastAsia="仿宋" w:cs="仿宋"/>
                <w:highlight w:val="none"/>
              </w:rPr>
            </w:pPr>
            <w:r>
              <w:rPr>
                <w:rFonts w:ascii="仿宋" w:hAnsi="仿宋" w:eastAsia="仿宋" w:cs="仿宋"/>
                <w:highlight w:val="none"/>
              </w:rPr>
              <w:t>12.洞眼：总数≤6个/㎡；</w:t>
            </w:r>
          </w:p>
          <w:p w14:paraId="0B543B8D">
            <w:pPr>
              <w:rPr>
                <w:rFonts w:ascii="仿宋" w:hAnsi="仿宋" w:eastAsia="仿宋" w:cs="仿宋"/>
                <w:highlight w:val="none"/>
              </w:rPr>
            </w:pPr>
            <w:r>
              <w:rPr>
                <w:rFonts w:ascii="仿宋" w:hAnsi="仿宋" w:eastAsia="仿宋" w:cs="仿宋"/>
                <w:highlight w:val="none"/>
              </w:rPr>
              <w:t>13.柔软度（成品层纵横平均）：≤200 mN；</w:t>
            </w:r>
          </w:p>
          <w:p w14:paraId="397D57A1">
            <w:pPr>
              <w:rPr>
                <w:rFonts w:ascii="仿宋" w:hAnsi="仿宋" w:eastAsia="仿宋" w:cs="仿宋"/>
                <w:highlight w:val="none"/>
              </w:rPr>
            </w:pPr>
            <w:r>
              <w:rPr>
                <w:rFonts w:ascii="仿宋" w:hAnsi="仿宋" w:eastAsia="仿宋" w:cs="仿宋"/>
                <w:highlight w:val="none"/>
              </w:rPr>
              <w:t>14.细菌菌落总数：≤600CFU/g；</w:t>
            </w:r>
          </w:p>
          <w:p w14:paraId="1897994D">
            <w:pPr>
              <w:rPr>
                <w:rFonts w:ascii="仿宋" w:hAnsi="仿宋" w:eastAsia="仿宋" w:cs="仿宋"/>
                <w:highlight w:val="none"/>
              </w:rPr>
            </w:pPr>
            <w:r>
              <w:rPr>
                <w:rFonts w:ascii="仿宋" w:hAnsi="仿宋" w:eastAsia="仿宋" w:cs="仿宋"/>
                <w:highlight w:val="none"/>
              </w:rPr>
              <w:t>15.不得检测出大肠菌群、金黄色葡萄球菌、溶血性链球菌。</w:t>
            </w:r>
          </w:p>
          <w:p w14:paraId="0AE0E256">
            <w:pPr>
              <w:rPr>
                <w:rFonts w:ascii="仿宋" w:hAnsi="仿宋" w:eastAsia="仿宋" w:cs="仿宋"/>
                <w:highlight w:val="none"/>
              </w:rPr>
            </w:pPr>
            <w:r>
              <w:rPr>
                <w:rFonts w:ascii="仿宋" w:hAnsi="仿宋" w:eastAsia="仿宋" w:cs="仿宋"/>
                <w:highlight w:val="none"/>
              </w:rPr>
              <w:t>备注：</w:t>
            </w:r>
          </w:p>
          <w:p w14:paraId="7057BC08">
            <w:pPr>
              <w:rPr>
                <w:rFonts w:ascii="仿宋" w:hAnsi="仿宋" w:eastAsia="仿宋" w:cs="仿宋"/>
                <w:highlight w:val="none"/>
              </w:rPr>
            </w:pPr>
            <w:r>
              <w:rPr>
                <w:rFonts w:ascii="仿宋" w:hAnsi="仿宋" w:eastAsia="仿宋" w:cs="仿宋"/>
                <w:highlight w:val="none"/>
              </w:rPr>
              <w:t>1-6项提供证明材料：产品厂家公开发布的产品彩页或技术白皮书（技术资料）或产品官网技术证明截图等相关证明材料予以佐证。</w:t>
            </w:r>
          </w:p>
          <w:p w14:paraId="70D560FC">
            <w:pPr>
              <w:rPr>
                <w:rFonts w:ascii="仿宋" w:hAnsi="仿宋" w:eastAsia="仿宋" w:cs="仿宋"/>
                <w:highlight w:val="none"/>
              </w:rPr>
            </w:pPr>
            <w:r>
              <w:rPr>
                <w:rFonts w:ascii="仿宋" w:hAnsi="仿宋" w:eastAsia="仿宋" w:cs="仿宋"/>
                <w:highlight w:val="none"/>
              </w:rPr>
              <w:t>7-15项提供证明材料：国家认可的检测机构出具的产品检测报告复印件予以佐证。</w:t>
            </w:r>
          </w:p>
          <w:p w14:paraId="4DA40D3A">
            <w:pPr>
              <w:rPr>
                <w:rFonts w:ascii="仿宋" w:hAnsi="仿宋" w:eastAsia="仿宋" w:cs="仿宋"/>
                <w:highlight w:val="none"/>
              </w:rPr>
            </w:pPr>
            <w:r>
              <w:rPr>
                <w:rFonts w:ascii="仿宋" w:hAnsi="仿宋" w:eastAsia="仿宋" w:cs="仿宋"/>
                <w:highlight w:val="none"/>
              </w:rPr>
              <w:t>以上技术参数或性能指标以外的技术参数或性能指标须符合GB/T 20810—2018《卫生纸（含卫生纸原纸）》标准。</w:t>
            </w:r>
          </w:p>
        </w:tc>
        <w:tc>
          <w:tcPr>
            <w:tcW w:w="582" w:type="pct"/>
            <w:vAlign w:val="center"/>
          </w:tcPr>
          <w:p w14:paraId="299C54D8">
            <w:pPr>
              <w:widowControl/>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卷</w:t>
            </w:r>
          </w:p>
        </w:tc>
        <w:tc>
          <w:tcPr>
            <w:tcW w:w="695" w:type="pct"/>
            <w:shd w:val="clear" w:color="auto" w:fill="auto"/>
            <w:vAlign w:val="center"/>
          </w:tcPr>
          <w:p w14:paraId="6D6FB616">
            <w:pPr>
              <w:widowControl/>
              <w:jc w:val="center"/>
              <w:rPr>
                <w:rFonts w:ascii="仿宋" w:hAnsi="仿宋" w:eastAsia="仿宋" w:cs="仿宋"/>
                <w:color w:val="000000"/>
                <w:kern w:val="0"/>
                <w:szCs w:val="21"/>
                <w:highlight w:val="none"/>
              </w:rPr>
            </w:pPr>
            <w:r>
              <w:rPr>
                <w:rFonts w:ascii="仿宋" w:hAnsi="仿宋" w:eastAsia="仿宋" w:cs="仿宋"/>
                <w:highlight w:val="none"/>
              </w:rPr>
              <w:t>6.2</w:t>
            </w:r>
          </w:p>
        </w:tc>
      </w:tr>
      <w:tr w14:paraId="2929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6" w:type="pct"/>
            <w:vAlign w:val="center"/>
          </w:tcPr>
          <w:p w14:paraId="1BDB8043">
            <w:pPr>
              <w:adjustRightInd w:val="0"/>
              <w:snapToGrid w:val="0"/>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557" w:type="pct"/>
            <w:shd w:val="clear" w:color="auto" w:fill="auto"/>
            <w:vAlign w:val="center"/>
          </w:tcPr>
          <w:p w14:paraId="4ED44A54">
            <w:pPr>
              <w:widowControl/>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擦手纸</w:t>
            </w:r>
          </w:p>
        </w:tc>
        <w:tc>
          <w:tcPr>
            <w:tcW w:w="2770" w:type="pct"/>
            <w:shd w:val="clear" w:color="auto" w:fill="auto"/>
            <w:vAlign w:val="center"/>
          </w:tcPr>
          <w:p w14:paraId="06CFDFB8">
            <w:pPr>
              <w:rPr>
                <w:rFonts w:ascii="仿宋" w:hAnsi="仿宋" w:eastAsia="仿宋" w:cs="仿宋"/>
                <w:highlight w:val="none"/>
              </w:rPr>
            </w:pPr>
            <w:r>
              <w:rPr>
                <w:rFonts w:ascii="仿宋" w:hAnsi="仿宋" w:eastAsia="仿宋" w:cs="仿宋"/>
                <w:highlight w:val="none"/>
              </w:rPr>
              <w:t>1.单张重量：1.85g±0.5g；</w:t>
            </w:r>
            <w:r>
              <w:rPr>
                <w:rFonts w:ascii="仿宋" w:hAnsi="仿宋" w:eastAsia="仿宋" w:cs="仿宋"/>
                <w:highlight w:val="none"/>
              </w:rPr>
              <w:br w:type="textWrapping"/>
            </w:r>
            <w:r>
              <w:rPr>
                <w:rFonts w:ascii="仿宋" w:hAnsi="仿宋" w:eastAsia="仿宋" w:cs="仿宋"/>
                <w:highlight w:val="none"/>
              </w:rPr>
              <w:t>2.单张尺寸：210×215mm±5mm；</w:t>
            </w:r>
          </w:p>
          <w:p w14:paraId="6FC64FD6">
            <w:pPr>
              <w:rPr>
                <w:rFonts w:ascii="仿宋" w:hAnsi="仿宋" w:eastAsia="仿宋" w:cs="仿宋"/>
                <w:highlight w:val="none"/>
              </w:rPr>
            </w:pPr>
            <w:r>
              <w:rPr>
                <w:rFonts w:ascii="仿宋" w:hAnsi="仿宋" w:eastAsia="仿宋" w:cs="仿宋"/>
                <w:highlight w:val="none"/>
              </w:rPr>
              <w:t>3.单张满水吸重（水杯中）≥9g；</w:t>
            </w:r>
            <w:r>
              <w:rPr>
                <w:rFonts w:ascii="仿宋" w:hAnsi="仿宋" w:eastAsia="仿宋" w:cs="仿宋"/>
                <w:highlight w:val="none"/>
              </w:rPr>
              <w:br w:type="textWrapping"/>
            </w:r>
            <w:r>
              <w:rPr>
                <w:rFonts w:ascii="仿宋" w:hAnsi="仿宋" w:eastAsia="仿宋" w:cs="仿宋"/>
                <w:highlight w:val="none"/>
              </w:rPr>
              <w:t>4.每包纸张数≥200抽；</w:t>
            </w:r>
            <w:r>
              <w:rPr>
                <w:rFonts w:ascii="仿宋" w:hAnsi="仿宋" w:eastAsia="仿宋" w:cs="仿宋"/>
                <w:highlight w:val="none"/>
              </w:rPr>
              <w:br w:type="textWrapping"/>
            </w:r>
            <w:r>
              <w:rPr>
                <w:rFonts w:ascii="仿宋" w:hAnsi="仿宋" w:eastAsia="仿宋" w:cs="仿宋"/>
                <w:highlight w:val="none"/>
              </w:rPr>
              <w:t>5.质量要求：优等品，二层复合；</w:t>
            </w:r>
          </w:p>
          <w:p w14:paraId="25F1B536">
            <w:pPr>
              <w:rPr>
                <w:rFonts w:ascii="仿宋" w:hAnsi="仿宋" w:eastAsia="仿宋" w:cs="仿宋"/>
                <w:highlight w:val="none"/>
              </w:rPr>
            </w:pPr>
            <w:r>
              <w:rPr>
                <w:rFonts w:ascii="仿宋" w:hAnsi="仿宋" w:eastAsia="仿宋" w:cs="仿宋"/>
                <w:highlight w:val="none"/>
              </w:rPr>
              <w:t>6.材质：原生木浆；</w:t>
            </w:r>
          </w:p>
          <w:p w14:paraId="44C1A4D2">
            <w:pPr>
              <w:rPr>
                <w:rFonts w:ascii="仿宋" w:hAnsi="仿宋" w:eastAsia="仿宋" w:cs="仿宋"/>
                <w:highlight w:val="none"/>
              </w:rPr>
            </w:pPr>
            <w:r>
              <w:rPr>
                <w:rFonts w:ascii="仿宋" w:hAnsi="仿宋" w:eastAsia="仿宋" w:cs="仿宋"/>
                <w:highlight w:val="none"/>
              </w:rPr>
              <w:t>7.定量：16.0±1.0g/㎡；</w:t>
            </w:r>
          </w:p>
          <w:p w14:paraId="53DCDBB6">
            <w:pPr>
              <w:rPr>
                <w:rFonts w:ascii="仿宋" w:hAnsi="仿宋" w:eastAsia="仿宋" w:cs="仿宋"/>
                <w:highlight w:val="none"/>
              </w:rPr>
            </w:pPr>
            <w:r>
              <w:rPr>
                <w:rFonts w:ascii="仿宋" w:hAnsi="仿宋" w:eastAsia="仿宋" w:cs="仿宋"/>
                <w:highlight w:val="none"/>
              </w:rPr>
              <w:t>8.吸水时间： ≤15.0/s；</w:t>
            </w:r>
          </w:p>
          <w:p w14:paraId="5AE5C3A3">
            <w:pPr>
              <w:rPr>
                <w:rFonts w:ascii="仿宋" w:hAnsi="仿宋" w:eastAsia="仿宋" w:cs="仿宋"/>
                <w:highlight w:val="none"/>
              </w:rPr>
            </w:pPr>
            <w:r>
              <w:rPr>
                <w:rFonts w:ascii="仿宋" w:hAnsi="仿宋" w:eastAsia="仿宋" w:cs="仿宋"/>
                <w:highlight w:val="none"/>
              </w:rPr>
              <w:t>9.吸水能力：≥5.5g/g；</w:t>
            </w:r>
          </w:p>
          <w:p w14:paraId="3B8F1AFB">
            <w:pPr>
              <w:rPr>
                <w:rFonts w:ascii="仿宋" w:hAnsi="仿宋" w:eastAsia="仿宋" w:cs="仿宋"/>
                <w:highlight w:val="none"/>
              </w:rPr>
            </w:pPr>
            <w:r>
              <w:rPr>
                <w:rFonts w:ascii="仿宋" w:hAnsi="仿宋" w:eastAsia="仿宋" w:cs="仿宋"/>
                <w:highlight w:val="none"/>
              </w:rPr>
              <w:t>10.横向抗张强度(成品层)：≥200N/m；</w:t>
            </w:r>
          </w:p>
          <w:p w14:paraId="7C0AF60F">
            <w:pPr>
              <w:rPr>
                <w:rFonts w:ascii="仿宋" w:hAnsi="仿宋" w:eastAsia="仿宋" w:cs="仿宋"/>
                <w:highlight w:val="none"/>
              </w:rPr>
            </w:pPr>
            <w:r>
              <w:rPr>
                <w:rFonts w:ascii="仿宋" w:hAnsi="仿宋" w:eastAsia="仿宋" w:cs="仿宋"/>
                <w:highlight w:val="none"/>
              </w:rPr>
              <w:t>11.纵向湿抗张强度（成品层）：≥90.0N/m；</w:t>
            </w:r>
          </w:p>
          <w:p w14:paraId="4B8E8659">
            <w:pPr>
              <w:rPr>
                <w:rFonts w:ascii="仿宋" w:hAnsi="仿宋" w:eastAsia="仿宋" w:cs="仿宋"/>
                <w:highlight w:val="none"/>
              </w:rPr>
            </w:pPr>
            <w:r>
              <w:rPr>
                <w:rFonts w:ascii="仿宋" w:hAnsi="仿宋" w:eastAsia="仿宋" w:cs="仿宋"/>
                <w:highlight w:val="none"/>
              </w:rPr>
              <w:t>12.尘埃度：总数≤50个/㎡；</w:t>
            </w:r>
          </w:p>
          <w:p w14:paraId="35C4E990">
            <w:pPr>
              <w:rPr>
                <w:rFonts w:ascii="仿宋" w:hAnsi="仿宋" w:eastAsia="仿宋" w:cs="仿宋"/>
                <w:highlight w:val="none"/>
              </w:rPr>
            </w:pPr>
            <w:r>
              <w:rPr>
                <w:rFonts w:ascii="仿宋" w:hAnsi="仿宋" w:eastAsia="仿宋" w:cs="仿宋"/>
                <w:highlight w:val="none"/>
              </w:rPr>
              <w:t>13.不得检测出大肠菌群、铜绿假单胞菌、金黄色葡萄球菌、溶血性链球菌。</w:t>
            </w:r>
          </w:p>
          <w:p w14:paraId="5E40FBFF">
            <w:pPr>
              <w:rPr>
                <w:rFonts w:ascii="仿宋" w:hAnsi="仿宋" w:eastAsia="仿宋" w:cs="仿宋"/>
                <w:highlight w:val="none"/>
              </w:rPr>
            </w:pPr>
            <w:r>
              <w:rPr>
                <w:rFonts w:ascii="仿宋" w:hAnsi="仿宋" w:eastAsia="仿宋" w:cs="仿宋"/>
                <w:highlight w:val="none"/>
              </w:rPr>
              <w:t>备注：</w:t>
            </w:r>
          </w:p>
          <w:p w14:paraId="7E1058CC">
            <w:pPr>
              <w:rPr>
                <w:rFonts w:ascii="仿宋" w:hAnsi="仿宋" w:eastAsia="仿宋" w:cs="仿宋"/>
                <w:highlight w:val="none"/>
              </w:rPr>
            </w:pPr>
            <w:r>
              <w:rPr>
                <w:rFonts w:ascii="仿宋" w:hAnsi="仿宋" w:eastAsia="仿宋" w:cs="仿宋"/>
                <w:highlight w:val="none"/>
              </w:rPr>
              <w:t>1-6项提供证明材料：产品厂家公开发布的产品彩页或技术白皮书（技术资料）或产品官网技术证明截图等相关证明材料予以佐证。</w:t>
            </w:r>
          </w:p>
          <w:p w14:paraId="542B9147">
            <w:pPr>
              <w:rPr>
                <w:rFonts w:ascii="仿宋" w:hAnsi="仿宋" w:eastAsia="仿宋" w:cs="仿宋"/>
                <w:highlight w:val="none"/>
              </w:rPr>
            </w:pPr>
            <w:r>
              <w:rPr>
                <w:rFonts w:ascii="仿宋" w:hAnsi="仿宋" w:eastAsia="仿宋" w:cs="仿宋"/>
                <w:highlight w:val="none"/>
              </w:rPr>
              <w:t>7-13项提供证明材料：国家认可的检测机构出具的产品检测报告复印件予以佐证。</w:t>
            </w:r>
          </w:p>
          <w:p w14:paraId="6E065BF2">
            <w:pPr>
              <w:rPr>
                <w:rFonts w:ascii="仿宋" w:hAnsi="仿宋" w:eastAsia="仿宋" w:cs="仿宋"/>
                <w:highlight w:val="none"/>
              </w:rPr>
            </w:pPr>
            <w:r>
              <w:rPr>
                <w:rFonts w:ascii="仿宋" w:hAnsi="仿宋" w:eastAsia="仿宋" w:cs="仿宋"/>
                <w:highlight w:val="none"/>
              </w:rPr>
              <w:t>以上技术参数或性能指标以外的技术参数或性能指标须符合GB/T 24455—2022《擦手纸》标准。</w:t>
            </w:r>
          </w:p>
        </w:tc>
        <w:tc>
          <w:tcPr>
            <w:tcW w:w="582" w:type="pct"/>
            <w:vAlign w:val="center"/>
          </w:tcPr>
          <w:p w14:paraId="050250DF">
            <w:pPr>
              <w:widowControl/>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包</w:t>
            </w:r>
          </w:p>
        </w:tc>
        <w:tc>
          <w:tcPr>
            <w:tcW w:w="695" w:type="pct"/>
            <w:shd w:val="clear" w:color="auto" w:fill="auto"/>
            <w:vAlign w:val="center"/>
          </w:tcPr>
          <w:p w14:paraId="44E53B86">
            <w:pPr>
              <w:widowControl/>
              <w:jc w:val="center"/>
              <w:rPr>
                <w:rFonts w:ascii="仿宋" w:hAnsi="仿宋" w:eastAsia="仿宋" w:cs="仿宋"/>
                <w:color w:val="000000"/>
                <w:kern w:val="0"/>
                <w:szCs w:val="21"/>
                <w:highlight w:val="none"/>
              </w:rPr>
            </w:pPr>
            <w:r>
              <w:rPr>
                <w:rFonts w:ascii="仿宋" w:hAnsi="仿宋" w:eastAsia="仿宋" w:cs="仿宋"/>
                <w:color w:val="000000"/>
                <w:kern w:val="0"/>
                <w:szCs w:val="21"/>
                <w:highlight w:val="none"/>
              </w:rPr>
              <w:t>4.3</w:t>
            </w:r>
          </w:p>
        </w:tc>
      </w:tr>
      <w:tr w14:paraId="472E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6" w:type="pct"/>
            <w:vAlign w:val="center"/>
          </w:tcPr>
          <w:p w14:paraId="35374EFF">
            <w:pPr>
              <w:adjustRightInd w:val="0"/>
              <w:snapToGrid w:val="0"/>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557" w:type="pct"/>
            <w:shd w:val="clear" w:color="auto" w:fill="auto"/>
            <w:vAlign w:val="center"/>
          </w:tcPr>
          <w:p w14:paraId="25DE4F53">
            <w:pPr>
              <w:widowControl/>
              <w:jc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洗手液</w:t>
            </w:r>
          </w:p>
        </w:tc>
        <w:tc>
          <w:tcPr>
            <w:tcW w:w="2770" w:type="pct"/>
            <w:shd w:val="clear" w:color="auto" w:fill="auto"/>
            <w:vAlign w:val="center"/>
          </w:tcPr>
          <w:p w14:paraId="1474F19C">
            <w:pPr>
              <w:rPr>
                <w:rFonts w:ascii="仿宋" w:hAnsi="仿宋" w:eastAsia="仿宋" w:cs="仿宋"/>
                <w:highlight w:val="none"/>
              </w:rPr>
            </w:pPr>
            <w:r>
              <w:rPr>
                <w:rFonts w:ascii="仿宋" w:hAnsi="仿宋" w:eastAsia="仿宋" w:cs="仿宋"/>
                <w:highlight w:val="none"/>
              </w:rPr>
              <w:t>1.每桶净重≥25kg；</w:t>
            </w:r>
          </w:p>
          <w:p w14:paraId="6565A591">
            <w:pPr>
              <w:rPr>
                <w:rFonts w:ascii="仿宋" w:hAnsi="仿宋" w:eastAsia="仿宋" w:cs="仿宋"/>
                <w:highlight w:val="none"/>
              </w:rPr>
            </w:pPr>
            <w:r>
              <w:rPr>
                <w:rFonts w:ascii="仿宋" w:hAnsi="仿宋" w:eastAsia="仿宋" w:cs="仿宋"/>
                <w:highlight w:val="none"/>
              </w:rPr>
              <w:t>2.总有效物：≥7%；</w:t>
            </w:r>
            <w:r>
              <w:rPr>
                <w:rFonts w:ascii="仿宋" w:hAnsi="仿宋" w:eastAsia="仿宋" w:cs="仿宋"/>
                <w:highlight w:val="none"/>
              </w:rPr>
              <w:br w:type="textWrapping"/>
            </w:r>
            <w:r>
              <w:rPr>
                <w:rFonts w:ascii="仿宋" w:hAnsi="仿宋" w:eastAsia="仿宋" w:cs="仿宋"/>
                <w:highlight w:val="none"/>
              </w:rPr>
              <w:t>3.pH(25℃，1:10（质量浓度）水溶液)：4.0～10.0 ；</w:t>
            </w:r>
            <w:r>
              <w:rPr>
                <w:rFonts w:ascii="仿宋" w:hAnsi="仿宋" w:eastAsia="仿宋" w:cs="仿宋"/>
                <w:highlight w:val="none"/>
              </w:rPr>
              <w:br w:type="textWrapping"/>
            </w:r>
            <w:r>
              <w:rPr>
                <w:rFonts w:ascii="仿宋" w:hAnsi="仿宋" w:eastAsia="仿宋" w:cs="仿宋"/>
                <w:highlight w:val="none"/>
              </w:rPr>
              <w:t>4.菌落总数/(CFU/g或CFU/ml）≤1000；</w:t>
            </w:r>
            <w:r>
              <w:rPr>
                <w:rFonts w:ascii="仿宋" w:hAnsi="仿宋" w:eastAsia="仿宋" w:cs="仿宋"/>
                <w:highlight w:val="none"/>
              </w:rPr>
              <w:br w:type="textWrapping"/>
            </w:r>
            <w:r>
              <w:rPr>
                <w:rFonts w:ascii="仿宋" w:hAnsi="仿宋" w:eastAsia="仿宋" w:cs="仿宋"/>
                <w:highlight w:val="none"/>
              </w:rPr>
              <w:t>5.砷≤2 mg/kg；</w:t>
            </w:r>
            <w:r>
              <w:rPr>
                <w:rFonts w:ascii="仿宋" w:hAnsi="仿宋" w:eastAsia="仿宋" w:cs="仿宋"/>
                <w:highlight w:val="none"/>
              </w:rPr>
              <w:br w:type="textWrapping"/>
            </w:r>
            <w:r>
              <w:rPr>
                <w:rFonts w:ascii="仿宋" w:hAnsi="仿宋" w:eastAsia="仿宋" w:cs="仿宋"/>
                <w:highlight w:val="none"/>
              </w:rPr>
              <w:t>6.汞≤1 mg/kg；</w:t>
            </w:r>
            <w:r>
              <w:rPr>
                <w:rFonts w:ascii="仿宋" w:hAnsi="仿宋" w:eastAsia="仿宋" w:cs="仿宋"/>
                <w:highlight w:val="none"/>
              </w:rPr>
              <w:br w:type="textWrapping"/>
            </w:r>
            <w:r>
              <w:rPr>
                <w:rFonts w:ascii="仿宋" w:hAnsi="仿宋" w:eastAsia="仿宋" w:cs="仿宋"/>
                <w:highlight w:val="none"/>
              </w:rPr>
              <w:t>7.铅≤10 mg/kg；</w:t>
            </w:r>
          </w:p>
          <w:p w14:paraId="078D98DA">
            <w:pPr>
              <w:rPr>
                <w:rFonts w:ascii="仿宋" w:hAnsi="仿宋" w:eastAsia="仿宋" w:cs="仿宋"/>
                <w:highlight w:val="none"/>
              </w:rPr>
            </w:pPr>
            <w:r>
              <w:rPr>
                <w:rFonts w:ascii="仿宋" w:hAnsi="仿宋" w:eastAsia="仿宋" w:cs="仿宋"/>
                <w:highlight w:val="none"/>
              </w:rPr>
              <w:t>8.镉≤5mg/kg；</w:t>
            </w:r>
          </w:p>
          <w:p w14:paraId="5E2D8942">
            <w:pPr>
              <w:rPr>
                <w:rFonts w:ascii="仿宋" w:hAnsi="仿宋" w:eastAsia="仿宋" w:cs="仿宋"/>
                <w:highlight w:val="none"/>
              </w:rPr>
            </w:pPr>
            <w:r>
              <w:rPr>
                <w:rFonts w:ascii="仿宋" w:hAnsi="仿宋" w:eastAsia="仿宋" w:cs="仿宋"/>
                <w:highlight w:val="none"/>
              </w:rPr>
              <w:t>9.二噁烷≤30mg/kg；</w:t>
            </w:r>
          </w:p>
          <w:p w14:paraId="13F78D4F">
            <w:pPr>
              <w:rPr>
                <w:rFonts w:ascii="仿宋" w:hAnsi="仿宋" w:eastAsia="仿宋" w:cs="仿宋"/>
                <w:highlight w:val="none"/>
              </w:rPr>
            </w:pPr>
            <w:r>
              <w:rPr>
                <w:rFonts w:ascii="仿宋" w:hAnsi="仿宋" w:eastAsia="仿宋" w:cs="仿宋"/>
                <w:highlight w:val="none"/>
              </w:rPr>
              <w:t>10.甲醇≤2000mg/kg；</w:t>
            </w:r>
            <w:r>
              <w:rPr>
                <w:rFonts w:ascii="仿宋" w:hAnsi="仿宋" w:eastAsia="仿宋" w:cs="仿宋"/>
                <w:highlight w:val="none"/>
              </w:rPr>
              <w:br w:type="textWrapping"/>
            </w:r>
            <w:r>
              <w:rPr>
                <w:rFonts w:ascii="仿宋" w:hAnsi="仿宋" w:eastAsia="仿宋" w:cs="仿宋"/>
                <w:highlight w:val="none"/>
              </w:rPr>
              <w:t>11.霉菌和酵母菌总数/(CFU/g或CFU/ml）≤100；</w:t>
            </w:r>
            <w:r>
              <w:rPr>
                <w:rFonts w:ascii="仿宋" w:hAnsi="仿宋" w:eastAsia="仿宋" w:cs="仿宋"/>
                <w:highlight w:val="none"/>
              </w:rPr>
              <w:br w:type="textWrapping"/>
            </w:r>
            <w:r>
              <w:rPr>
                <w:rFonts w:ascii="仿宋" w:hAnsi="仿宋" w:eastAsia="仿宋" w:cs="仿宋"/>
                <w:highlight w:val="none"/>
              </w:rPr>
              <w:t>12.不得检测出耐热大肠菌群、金黄色葡萄球菌、铜绿假单胞菌；</w:t>
            </w:r>
          </w:p>
          <w:p w14:paraId="1AF4CB7F">
            <w:pPr>
              <w:rPr>
                <w:rFonts w:ascii="仿宋" w:hAnsi="仿宋" w:eastAsia="仿宋" w:cs="仿宋"/>
                <w:highlight w:val="none"/>
              </w:rPr>
            </w:pPr>
            <w:r>
              <w:rPr>
                <w:rFonts w:ascii="仿宋" w:hAnsi="仿宋" w:eastAsia="仿宋" w:cs="仿宋"/>
                <w:highlight w:val="none"/>
              </w:rPr>
              <w:t>13.外观：不分层，无明显悬浮物(加入均匀悬浮颗粒组分的产品除外)或沉淀，无明显机械杂质的均匀产品；</w:t>
            </w:r>
            <w:r>
              <w:rPr>
                <w:rFonts w:ascii="仿宋" w:hAnsi="仿宋" w:eastAsia="仿宋" w:cs="仿宋"/>
                <w:highlight w:val="none"/>
              </w:rPr>
              <w:br w:type="textWrapping"/>
            </w:r>
            <w:r>
              <w:rPr>
                <w:rFonts w:ascii="仿宋" w:hAnsi="仿宋" w:eastAsia="仿宋" w:cs="仿宋"/>
                <w:highlight w:val="none"/>
              </w:rPr>
              <w:t>14.气味：无异味；</w:t>
            </w:r>
          </w:p>
          <w:p w14:paraId="3C2F78AA">
            <w:pPr>
              <w:rPr>
                <w:rFonts w:ascii="仿宋" w:hAnsi="仿宋" w:eastAsia="仿宋" w:cs="仿宋"/>
                <w:highlight w:val="none"/>
              </w:rPr>
            </w:pPr>
            <w:r>
              <w:rPr>
                <w:rFonts w:ascii="仿宋" w:hAnsi="仿宋" w:eastAsia="仿宋" w:cs="仿宋"/>
                <w:highlight w:val="none"/>
              </w:rPr>
              <w:t>15.甲醛：≤500mg/kg；</w:t>
            </w:r>
          </w:p>
          <w:p w14:paraId="0434EE13">
            <w:pPr>
              <w:rPr>
                <w:rFonts w:ascii="仿宋" w:hAnsi="仿宋" w:eastAsia="仿宋" w:cs="仿宋"/>
                <w:highlight w:val="none"/>
              </w:rPr>
            </w:pPr>
            <w:r>
              <w:rPr>
                <w:rFonts w:ascii="仿宋" w:hAnsi="仿宋" w:eastAsia="仿宋" w:cs="仿宋"/>
                <w:highlight w:val="none"/>
              </w:rPr>
              <w:t>16.稳定性：耐热：（40±2）℃，24h：恢复至室温后观察，不分层，无异味和变色现象，透明产品不浑浊；耐寒：（－5±2）℃，24h：恢复至室温后观察，不分层，无沉淀，无变色现象，透明产品不浑浊。</w:t>
            </w:r>
          </w:p>
          <w:p w14:paraId="7D9DF9FC">
            <w:pPr>
              <w:rPr>
                <w:rFonts w:ascii="仿宋" w:hAnsi="仿宋" w:eastAsia="仿宋" w:cs="仿宋"/>
                <w:highlight w:val="none"/>
              </w:rPr>
            </w:pPr>
            <w:r>
              <w:rPr>
                <w:rFonts w:ascii="仿宋" w:hAnsi="仿宋" w:eastAsia="仿宋" w:cs="仿宋"/>
                <w:highlight w:val="none"/>
              </w:rPr>
              <w:t>备注：</w:t>
            </w:r>
          </w:p>
          <w:p w14:paraId="308C2365">
            <w:pPr>
              <w:rPr>
                <w:rFonts w:ascii="仿宋" w:hAnsi="仿宋" w:eastAsia="仿宋" w:cs="仿宋"/>
                <w:highlight w:val="none"/>
              </w:rPr>
            </w:pPr>
            <w:r>
              <w:rPr>
                <w:rFonts w:ascii="仿宋" w:hAnsi="仿宋" w:eastAsia="仿宋" w:cs="仿宋"/>
                <w:highlight w:val="none"/>
              </w:rPr>
              <w:t>1项提供证明材料：产品厂家公开发布的产品彩页或技术白皮书（技术资料）或产品官网技术证明截图等相关证明材料予以佐证。</w:t>
            </w:r>
          </w:p>
          <w:p w14:paraId="0B36B46F">
            <w:pPr>
              <w:rPr>
                <w:rFonts w:ascii="仿宋" w:hAnsi="仿宋" w:eastAsia="仿宋" w:cs="仿宋"/>
                <w:highlight w:val="none"/>
              </w:rPr>
            </w:pPr>
            <w:r>
              <w:rPr>
                <w:rFonts w:ascii="仿宋" w:hAnsi="仿宋" w:eastAsia="仿宋" w:cs="仿宋"/>
                <w:highlight w:val="none"/>
              </w:rPr>
              <w:t>2-16项提供证明材料：国家认可的检测机构出具的产品检测报告复印件予以佐证。</w:t>
            </w:r>
          </w:p>
          <w:p w14:paraId="7F234472">
            <w:pPr>
              <w:rPr>
                <w:rFonts w:ascii="仿宋" w:hAnsi="仿宋" w:eastAsia="仿宋" w:cs="仿宋"/>
                <w:highlight w:val="none"/>
              </w:rPr>
            </w:pPr>
            <w:r>
              <w:rPr>
                <w:rFonts w:ascii="仿宋" w:hAnsi="仿宋" w:eastAsia="仿宋" w:cs="仿宋"/>
                <w:highlight w:val="none"/>
              </w:rPr>
              <w:t>以上技术参数或性能指标以外的技术参数或性能指标须符合GB/T 34855-2017《洗手液》标准。</w:t>
            </w:r>
          </w:p>
        </w:tc>
        <w:tc>
          <w:tcPr>
            <w:tcW w:w="582" w:type="pct"/>
            <w:vAlign w:val="center"/>
          </w:tcPr>
          <w:p w14:paraId="7D0289BA">
            <w:pPr>
              <w:widowControl/>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桶</w:t>
            </w:r>
          </w:p>
        </w:tc>
        <w:tc>
          <w:tcPr>
            <w:tcW w:w="695" w:type="pct"/>
            <w:shd w:val="clear" w:color="auto" w:fill="auto"/>
            <w:vAlign w:val="center"/>
          </w:tcPr>
          <w:p w14:paraId="656AA453">
            <w:pPr>
              <w:widowControl/>
              <w:jc w:val="center"/>
              <w:rPr>
                <w:rFonts w:ascii="宋体" w:hAnsi="宋体" w:cs="宋体"/>
                <w:sz w:val="22"/>
                <w:highlight w:val="none"/>
              </w:rPr>
            </w:pPr>
            <w:r>
              <w:rPr>
                <w:rFonts w:ascii="宋体" w:hAnsi="宋体" w:cs="宋体"/>
                <w:sz w:val="22"/>
                <w:highlight w:val="none"/>
              </w:rPr>
              <w:t>150</w:t>
            </w:r>
          </w:p>
        </w:tc>
      </w:tr>
    </w:tbl>
    <w:p w14:paraId="6DBC1749">
      <w:pPr>
        <w:spacing w:line="360" w:lineRule="auto"/>
        <w:rPr>
          <w:rFonts w:ascii="仿宋" w:hAnsi="仿宋" w:eastAsia="仿宋" w:cs="仿宋"/>
          <w:b/>
          <w:sz w:val="28"/>
          <w:szCs w:val="32"/>
          <w:highlight w:val="none"/>
        </w:rPr>
      </w:pPr>
      <w:r>
        <w:rPr>
          <w:rFonts w:hint="eastAsia" w:ascii="仿宋" w:hAnsi="仿宋" w:eastAsia="仿宋" w:cs="仿宋"/>
          <w:b/>
          <w:sz w:val="28"/>
          <w:szCs w:val="32"/>
          <w:highlight w:val="none"/>
        </w:rPr>
        <w:t>四、主要商务要求</w:t>
      </w:r>
    </w:p>
    <w:tbl>
      <w:tblPr>
        <w:tblStyle w:val="13"/>
        <w:tblpPr w:leftFromText="180" w:rightFromText="180" w:vertAnchor="text" w:horzAnchor="page" w:tblpX="1906" w:tblpY="2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6812"/>
      </w:tblGrid>
      <w:tr w14:paraId="7A68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 w:type="pct"/>
            <w:vAlign w:val="center"/>
          </w:tcPr>
          <w:p w14:paraId="2D2FA075">
            <w:pPr>
              <w:adjustRightInd w:val="0"/>
              <w:snapToGrid w:val="0"/>
              <w:jc w:val="cente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t>服务期限</w:t>
            </w:r>
          </w:p>
        </w:tc>
        <w:tc>
          <w:tcPr>
            <w:tcW w:w="3997" w:type="pct"/>
            <w:vAlign w:val="center"/>
          </w:tcPr>
          <w:p w14:paraId="172B7D07">
            <w:pPr>
              <w:adjustRightInd w:val="0"/>
              <w:snapToGrid w:val="0"/>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Fonts w:hint="eastAsia" w:ascii="仿宋" w:hAnsi="仿宋" w:eastAsia="仿宋" w:cs="仿宋"/>
                <w:szCs w:val="21"/>
                <w:highlight w:val="none"/>
              </w:rPr>
              <w:t>合同签订之日起1年。</w:t>
            </w:r>
          </w:p>
        </w:tc>
      </w:tr>
      <w:tr w14:paraId="6CB5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 w:type="pct"/>
            <w:vAlign w:val="center"/>
          </w:tcPr>
          <w:p w14:paraId="08597DBC">
            <w:pPr>
              <w:adjustRightInd w:val="0"/>
              <w:snapToGrid w:val="0"/>
              <w:jc w:val="cente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t>标的提供地点</w:t>
            </w:r>
          </w:p>
        </w:tc>
        <w:tc>
          <w:tcPr>
            <w:tcW w:w="3997" w:type="pct"/>
            <w:vAlign w:val="center"/>
          </w:tcPr>
          <w:p w14:paraId="6C394912">
            <w:pPr>
              <w:adjustRightInd w:val="0"/>
              <w:snapToGrid w:val="0"/>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Fonts w:ascii="仿宋" w:hAnsi="仿宋" w:eastAsia="仿宋" w:cs="仿宋"/>
                <w:szCs w:val="21"/>
                <w:highlight w:val="none"/>
              </w:rPr>
              <w:t>西华大学郫都校区</w:t>
            </w:r>
            <w:r>
              <w:rPr>
                <w:rFonts w:hint="eastAsia" w:ascii="仿宋" w:hAnsi="仿宋" w:eastAsia="仿宋" w:cs="仿宋"/>
                <w:szCs w:val="21"/>
                <w:highlight w:val="none"/>
              </w:rPr>
              <w:t>、彭州校区</w:t>
            </w:r>
          </w:p>
        </w:tc>
      </w:tr>
      <w:tr w14:paraId="0A33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7C5C860B">
            <w:pPr>
              <w:adjustRightInd w:val="0"/>
              <w:snapToGrid w:val="0"/>
              <w:jc w:val="cente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t>付款方式</w:t>
            </w:r>
          </w:p>
        </w:tc>
        <w:tc>
          <w:tcPr>
            <w:tcW w:w="3997" w:type="pct"/>
          </w:tcPr>
          <w:p w14:paraId="048F5819">
            <w:pPr>
              <w:adjustRightInd w:val="0"/>
              <w:snapToGrid w:val="0"/>
              <w:rPr>
                <w:rStyle w:val="17"/>
                <w:rFonts w:hint="default" w:ascii="仿宋" w:hAnsi="仿宋" w:eastAsia="仿宋" w:cs="仿宋"/>
                <w:b w:val="0"/>
                <w:bCs w:val="0"/>
                <w:color w:val="auto"/>
                <w:sz w:val="21"/>
                <w:szCs w:val="21"/>
                <w:highlight w:val="none"/>
              </w:rPr>
            </w:pPr>
            <w:r>
              <w:rPr>
                <w:rFonts w:ascii="仿宋" w:hAnsi="仿宋" w:eastAsia="仿宋" w:cs="仿宋"/>
                <w:szCs w:val="21"/>
                <w:highlight w:val="none"/>
              </w:rPr>
              <w:t>货款按实际供应量结算。物资验收合格入库后，货款按批次结算或月结、季结等方式支付，供应商开具发票，采购人原则上在20个工作日内通过对公账户进行支付（特殊情况顺延），如发生退货，下次/下月结算时予以扣除。</w:t>
            </w:r>
          </w:p>
        </w:tc>
      </w:tr>
      <w:tr w14:paraId="40F5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72E4B219">
            <w:pPr>
              <w:adjustRightInd w:val="0"/>
              <w:snapToGrid w:val="0"/>
              <w:jc w:val="cente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t>验收要求</w:t>
            </w:r>
          </w:p>
        </w:tc>
        <w:tc>
          <w:tcPr>
            <w:tcW w:w="3997" w:type="pct"/>
          </w:tcPr>
          <w:p w14:paraId="4A916D08">
            <w:pPr>
              <w:adjustRightInd w:val="0"/>
              <w:snapToGrid w:val="0"/>
              <w:rPr>
                <w:rFonts w:ascii="仿宋" w:hAnsi="仿宋" w:eastAsia="仿宋" w:cs="仿宋"/>
                <w:szCs w:val="21"/>
                <w:highlight w:val="none"/>
              </w:rPr>
            </w:pPr>
            <w:r>
              <w:rPr>
                <w:rFonts w:ascii="仿宋" w:hAnsi="仿宋" w:eastAsia="仿宋" w:cs="仿宋"/>
                <w:szCs w:val="21"/>
                <w:highlight w:val="none"/>
              </w:rPr>
              <w:t>1.验收地点及时间：由采购人指定。</w:t>
            </w:r>
          </w:p>
          <w:p w14:paraId="4810A0CD">
            <w:pPr>
              <w:adjustRightInd w:val="0"/>
              <w:snapToGrid w:val="0"/>
              <w:rPr>
                <w:rStyle w:val="17"/>
                <w:rFonts w:hint="default" w:ascii="仿宋" w:hAnsi="仿宋" w:eastAsia="仿宋" w:cs="仿宋"/>
                <w:b w:val="0"/>
                <w:bCs w:val="0"/>
                <w:color w:val="000000" w:themeColor="text1"/>
                <w:sz w:val="21"/>
                <w:szCs w:val="21"/>
                <w:highlight w:val="none"/>
                <w:lang w:bidi="ar"/>
                <w14:textFill>
                  <w14:solidFill>
                    <w14:schemeClr w14:val="tx1"/>
                  </w14:solidFill>
                </w14:textFill>
              </w:rPr>
            </w:pPr>
            <w:r>
              <w:rPr>
                <w:rFonts w:ascii="仿宋" w:hAnsi="仿宋" w:eastAsia="仿宋" w:cs="仿宋"/>
                <w:szCs w:val="21"/>
                <w:highlight w:val="none"/>
              </w:rPr>
              <w:t>2.验收时，双方必须同时在场，供应商所提供的产品不符合合同内容规定的，采购人有权拒绝验收，供应商应及时按本合同内容规定和采购人要求免费进行更换，直至验收合格。</w:t>
            </w:r>
          </w:p>
        </w:tc>
      </w:tr>
      <w:tr w14:paraId="715A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2B9E660E">
            <w:pPr>
              <w:adjustRightInd w:val="0"/>
              <w:snapToGrid w:val="0"/>
              <w:jc w:val="center"/>
              <w:rPr>
                <w:rStyle w:val="17"/>
                <w:rFonts w:hint="default" w:ascii="仿宋" w:hAnsi="仿宋" w:eastAsia="仿宋" w:cs="仿宋"/>
                <w:b w:val="0"/>
                <w:bCs w:val="0"/>
                <w:color w:val="auto"/>
                <w:highlight w:val="none"/>
                <w:lang w:bidi="ar"/>
              </w:rPr>
            </w:pPr>
            <w:r>
              <w:rPr>
                <w:rStyle w:val="17"/>
                <w:rFonts w:hint="default" w:ascii="仿宋" w:hAnsi="仿宋" w:eastAsia="仿宋" w:cs="仿宋"/>
                <w:b w:val="0"/>
                <w:bCs w:val="0"/>
                <w:color w:val="auto"/>
                <w:highlight w:val="none"/>
                <w:lang w:bidi="ar"/>
              </w:rPr>
              <w:t>服务要求及违约责任</w:t>
            </w:r>
          </w:p>
        </w:tc>
        <w:tc>
          <w:tcPr>
            <w:tcW w:w="3997" w:type="pct"/>
          </w:tcPr>
          <w:p w14:paraId="76BE02F2">
            <w:pPr>
              <w:adjustRightInd w:val="0"/>
              <w:snapToGrid w:val="0"/>
              <w:rPr>
                <w:rStyle w:val="17"/>
                <w:rFonts w:hint="default" w:ascii="仿宋" w:hAnsi="仿宋" w:eastAsia="仿宋" w:cs="仿宋"/>
                <w:bCs w:val="0"/>
                <w:color w:val="auto"/>
                <w:highlight w:val="none"/>
                <w:lang w:bidi="ar"/>
              </w:rPr>
            </w:pPr>
            <w:r>
              <w:rPr>
                <w:rStyle w:val="17"/>
                <w:rFonts w:hint="default" w:ascii="仿宋" w:hAnsi="仿宋" w:eastAsia="仿宋" w:cs="仿宋"/>
                <w:bCs w:val="0"/>
                <w:color w:val="auto"/>
                <w:highlight w:val="none"/>
                <w:lang w:bidi="ar"/>
              </w:rPr>
              <w:t>一、服务要求:</w:t>
            </w:r>
          </w:p>
          <w:p w14:paraId="4AF26B14">
            <w:pPr>
              <w:adjustRightInd w:val="0"/>
              <w:snapToGrid w:val="0"/>
              <w:jc w:val="left"/>
              <w:rPr>
                <w:rFonts w:ascii="仿宋" w:hAnsi="仿宋" w:eastAsia="仿宋" w:cs="仿宋"/>
                <w:szCs w:val="21"/>
                <w:highlight w:val="none"/>
              </w:rPr>
            </w:pPr>
            <w:r>
              <w:rPr>
                <w:rFonts w:ascii="仿宋" w:hAnsi="仿宋" w:eastAsia="仿宋" w:cs="仿宋"/>
                <w:szCs w:val="21"/>
                <w:highlight w:val="none"/>
              </w:rPr>
              <w:t>1.供应商</w:t>
            </w:r>
            <w:r>
              <w:rPr>
                <w:rFonts w:hint="eastAsia" w:ascii="仿宋" w:hAnsi="仿宋" w:eastAsia="仿宋" w:cs="仿宋"/>
                <w:szCs w:val="21"/>
                <w:highlight w:val="none"/>
              </w:rPr>
              <w:t>针对本项目</w:t>
            </w:r>
            <w:r>
              <w:rPr>
                <w:rFonts w:ascii="仿宋" w:hAnsi="仿宋" w:eastAsia="仿宋" w:cs="仿宋"/>
                <w:szCs w:val="21"/>
                <w:highlight w:val="none"/>
              </w:rPr>
              <w:t>须</w:t>
            </w:r>
            <w:r>
              <w:rPr>
                <w:rFonts w:hint="eastAsia" w:ascii="仿宋" w:hAnsi="仿宋" w:eastAsia="仿宋" w:cs="仿宋"/>
                <w:szCs w:val="21"/>
                <w:highlight w:val="none"/>
              </w:rPr>
              <w:t xml:space="preserve">配备项目负责人进行专人对接，处理日常事务及各项对接事宜，提供7×24小时的支持服务，配置专门固定的售后服务电话，接到采购人售后要求应30分钟内响应并进行售后服务处理。 </w:t>
            </w:r>
          </w:p>
          <w:p w14:paraId="5102BDA6">
            <w:pPr>
              <w:adjustRightInd w:val="0"/>
              <w:snapToGrid w:val="0"/>
              <w:rPr>
                <w:rFonts w:ascii="仿宋" w:hAnsi="仿宋" w:eastAsia="仿宋" w:cs="仿宋"/>
                <w:szCs w:val="21"/>
                <w:highlight w:val="none"/>
              </w:rPr>
            </w:pPr>
            <w:r>
              <w:rPr>
                <w:rFonts w:hint="eastAsia" w:ascii="仿宋" w:hAnsi="仿宋" w:eastAsia="仿宋" w:cs="仿宋"/>
                <w:szCs w:val="21"/>
                <w:highlight w:val="none"/>
              </w:rPr>
              <w:t>2</w:t>
            </w:r>
            <w:r>
              <w:rPr>
                <w:rFonts w:ascii="仿宋" w:hAnsi="仿宋" w:eastAsia="仿宋" w:cs="仿宋"/>
                <w:szCs w:val="21"/>
                <w:highlight w:val="none"/>
              </w:rPr>
              <w:t>.</w:t>
            </w:r>
            <w:r>
              <w:rPr>
                <w:rFonts w:hint="eastAsia" w:ascii="仿宋" w:hAnsi="仿宋" w:eastAsia="仿宋" w:cs="仿宋"/>
                <w:szCs w:val="21"/>
                <w:highlight w:val="none"/>
              </w:rPr>
              <w:t>供应商</w:t>
            </w:r>
            <w:r>
              <w:rPr>
                <w:rFonts w:ascii="仿宋" w:hAnsi="仿宋" w:eastAsia="仿宋" w:cs="仿宋"/>
                <w:szCs w:val="21"/>
                <w:highlight w:val="none"/>
              </w:rPr>
              <w:t>提供给采购人的所有商品必须为原厂正品，证照齐全。</w:t>
            </w:r>
          </w:p>
          <w:p w14:paraId="71326BE8">
            <w:pPr>
              <w:adjustRightInd w:val="0"/>
              <w:snapToGrid w:val="0"/>
              <w:rPr>
                <w:rFonts w:ascii="仿宋" w:hAnsi="仿宋" w:eastAsia="仿宋" w:cs="仿宋"/>
                <w:szCs w:val="21"/>
                <w:highlight w:val="none"/>
              </w:rPr>
            </w:pPr>
            <w:r>
              <w:rPr>
                <w:rFonts w:ascii="仿宋" w:hAnsi="仿宋" w:eastAsia="仿宋" w:cs="仿宋"/>
                <w:szCs w:val="21"/>
                <w:highlight w:val="none"/>
              </w:rPr>
              <w:t>3供货时须提供</w:t>
            </w:r>
            <w:r>
              <w:rPr>
                <w:rFonts w:hint="eastAsia" w:ascii="仿宋" w:hAnsi="仿宋" w:eastAsia="仿宋" w:cs="仿宋"/>
                <w:highlight w:val="none"/>
              </w:rPr>
              <w:t>国家认可的检测机构出具的产品检测报告及</w:t>
            </w:r>
            <w:r>
              <w:rPr>
                <w:rFonts w:ascii="仿宋" w:hAnsi="仿宋" w:eastAsia="仿宋" w:cs="仿宋"/>
                <w:szCs w:val="21"/>
                <w:highlight w:val="none"/>
              </w:rPr>
              <w:t>每批次号的检测报告。</w:t>
            </w:r>
          </w:p>
          <w:p w14:paraId="01601B36">
            <w:pPr>
              <w:adjustRightInd w:val="0"/>
              <w:snapToGrid w:val="0"/>
              <w:rPr>
                <w:rFonts w:ascii="仿宋" w:hAnsi="仿宋" w:eastAsia="仿宋" w:cs="仿宋"/>
                <w:szCs w:val="21"/>
                <w:highlight w:val="none"/>
              </w:rPr>
            </w:pPr>
            <w:r>
              <w:rPr>
                <w:rFonts w:hint="eastAsia" w:ascii="仿宋" w:hAnsi="仿宋" w:eastAsia="仿宋" w:cs="仿宋"/>
                <w:szCs w:val="21"/>
                <w:highlight w:val="none"/>
              </w:rPr>
              <w:t>4</w:t>
            </w:r>
            <w:r>
              <w:rPr>
                <w:rFonts w:ascii="仿宋" w:hAnsi="仿宋" w:eastAsia="仿宋" w:cs="仿宋"/>
                <w:szCs w:val="21"/>
                <w:highlight w:val="none"/>
              </w:rPr>
              <w:t>.</w:t>
            </w:r>
            <w:r>
              <w:rPr>
                <w:rFonts w:hint="eastAsia" w:ascii="仿宋" w:hAnsi="仿宋" w:eastAsia="仿宋" w:cs="仿宋"/>
                <w:szCs w:val="21"/>
                <w:highlight w:val="none"/>
              </w:rPr>
              <w:t>供应商</w:t>
            </w:r>
            <w:r>
              <w:rPr>
                <w:rFonts w:ascii="仿宋" w:hAnsi="仿宋" w:eastAsia="仿宋" w:cs="仿宋"/>
                <w:szCs w:val="21"/>
                <w:highlight w:val="none"/>
              </w:rPr>
              <w:t>送货须固定车辆，不得使用货拉拉等网约车送货。</w:t>
            </w:r>
          </w:p>
          <w:p w14:paraId="5F009AEA">
            <w:pPr>
              <w:adjustRightInd w:val="0"/>
              <w:snapToGrid w:val="0"/>
              <w:rPr>
                <w:rFonts w:ascii="仿宋" w:hAnsi="仿宋" w:eastAsia="仿宋" w:cs="仿宋"/>
                <w:szCs w:val="21"/>
                <w:highlight w:val="none"/>
              </w:rPr>
            </w:pPr>
            <w:r>
              <w:rPr>
                <w:rFonts w:hint="eastAsia" w:ascii="仿宋" w:hAnsi="仿宋" w:eastAsia="仿宋" w:cs="仿宋"/>
                <w:szCs w:val="21"/>
                <w:highlight w:val="none"/>
              </w:rPr>
              <w:t>5</w:t>
            </w:r>
            <w:r>
              <w:rPr>
                <w:rFonts w:ascii="仿宋" w:hAnsi="仿宋" w:eastAsia="仿宋" w:cs="仿宋"/>
                <w:szCs w:val="21"/>
                <w:highlight w:val="none"/>
              </w:rPr>
              <w:t>.</w:t>
            </w:r>
            <w:r>
              <w:rPr>
                <w:rFonts w:hint="eastAsia" w:ascii="仿宋" w:hAnsi="仿宋" w:eastAsia="仿宋" w:cs="仿宋"/>
                <w:szCs w:val="21"/>
                <w:highlight w:val="none"/>
              </w:rPr>
              <w:t>供应商</w:t>
            </w:r>
            <w:r>
              <w:rPr>
                <w:rFonts w:ascii="仿宋" w:hAnsi="仿宋" w:eastAsia="仿宋" w:cs="仿宋"/>
                <w:szCs w:val="21"/>
                <w:highlight w:val="none"/>
              </w:rPr>
              <w:t>送货须将商品送达采购人指定地点，须负责搬运下货。</w:t>
            </w:r>
          </w:p>
          <w:p w14:paraId="3543FAF8">
            <w:pPr>
              <w:adjustRightInd w:val="0"/>
              <w:snapToGrid w:val="0"/>
              <w:rPr>
                <w:rFonts w:ascii="仿宋" w:hAnsi="仿宋" w:eastAsia="仿宋" w:cs="仿宋"/>
                <w:szCs w:val="21"/>
                <w:highlight w:val="none"/>
              </w:rPr>
            </w:pPr>
            <w:r>
              <w:rPr>
                <w:rFonts w:hint="eastAsia" w:ascii="仿宋" w:hAnsi="仿宋" w:eastAsia="仿宋" w:cs="仿宋"/>
                <w:szCs w:val="21"/>
                <w:highlight w:val="none"/>
              </w:rPr>
              <w:t>6</w:t>
            </w:r>
            <w:r>
              <w:rPr>
                <w:rFonts w:ascii="仿宋" w:hAnsi="仿宋" w:eastAsia="仿宋" w:cs="仿宋"/>
                <w:szCs w:val="21"/>
                <w:highlight w:val="none"/>
              </w:rPr>
              <w:t>.每批商品必须保证剩余保质期的三分之二，采购人不定期对货物进行抽检，商品保质期必须在保质期三分之二内，不在保质期要求时间内的，</w:t>
            </w:r>
            <w:r>
              <w:rPr>
                <w:rFonts w:hint="eastAsia" w:ascii="仿宋" w:hAnsi="仿宋" w:eastAsia="仿宋" w:cs="仿宋"/>
                <w:szCs w:val="21"/>
                <w:highlight w:val="none"/>
              </w:rPr>
              <w:t>供应商</w:t>
            </w:r>
            <w:r>
              <w:rPr>
                <w:rFonts w:ascii="仿宋" w:hAnsi="仿宋" w:eastAsia="仿宋" w:cs="仿宋"/>
                <w:szCs w:val="21"/>
                <w:highlight w:val="none"/>
              </w:rPr>
              <w:t>须按采购人要求进行更换。</w:t>
            </w:r>
          </w:p>
          <w:p w14:paraId="63FEA1D0">
            <w:pPr>
              <w:adjustRightInd w:val="0"/>
              <w:snapToGrid w:val="0"/>
              <w:rPr>
                <w:rFonts w:ascii="仿宋" w:hAnsi="仿宋" w:eastAsia="仿宋" w:cs="仿宋"/>
                <w:szCs w:val="21"/>
                <w:highlight w:val="none"/>
              </w:rPr>
            </w:pPr>
            <w:r>
              <w:rPr>
                <w:rFonts w:hint="eastAsia" w:ascii="仿宋" w:hAnsi="仿宋" w:eastAsia="仿宋" w:cs="仿宋"/>
                <w:szCs w:val="21"/>
                <w:highlight w:val="none"/>
              </w:rPr>
              <w:t>7</w:t>
            </w:r>
            <w:r>
              <w:rPr>
                <w:rFonts w:ascii="仿宋" w:hAnsi="仿宋" w:eastAsia="仿宋" w:cs="仿宋"/>
                <w:szCs w:val="21"/>
                <w:highlight w:val="none"/>
              </w:rPr>
              <w:t>.供应商对商品质量承担责任，供应的货物出现质量问题，由此产生的经济责任和法律责任由</w:t>
            </w:r>
            <w:r>
              <w:rPr>
                <w:rFonts w:hint="eastAsia" w:ascii="仿宋" w:hAnsi="仿宋" w:eastAsia="仿宋" w:cs="仿宋"/>
                <w:szCs w:val="21"/>
                <w:highlight w:val="none"/>
              </w:rPr>
              <w:t>供应商</w:t>
            </w:r>
            <w:r>
              <w:rPr>
                <w:rFonts w:ascii="仿宋" w:hAnsi="仿宋" w:eastAsia="仿宋" w:cs="仿宋"/>
                <w:szCs w:val="21"/>
                <w:highlight w:val="none"/>
              </w:rPr>
              <w:t>全部承担。</w:t>
            </w:r>
          </w:p>
          <w:p w14:paraId="6E22C265">
            <w:pPr>
              <w:adjustRightInd w:val="0"/>
              <w:snapToGrid w:val="0"/>
              <w:rPr>
                <w:rStyle w:val="17"/>
                <w:rFonts w:hint="default" w:ascii="仿宋" w:hAnsi="仿宋" w:eastAsia="仿宋" w:cs="仿宋"/>
                <w:color w:val="auto"/>
                <w:highlight w:val="none"/>
                <w:lang w:bidi="ar"/>
              </w:rPr>
            </w:pPr>
            <w:r>
              <w:rPr>
                <w:rStyle w:val="17"/>
                <w:rFonts w:hint="default" w:ascii="仿宋" w:hAnsi="仿宋" w:eastAsia="仿宋" w:cs="仿宋"/>
                <w:color w:val="auto"/>
                <w:highlight w:val="none"/>
                <w:lang w:bidi="ar"/>
              </w:rPr>
              <w:t>二、违约责任：</w:t>
            </w:r>
          </w:p>
          <w:p w14:paraId="5335B178">
            <w:pPr>
              <w:adjustRightInd w:val="0"/>
              <w:snapToGrid w:val="0"/>
              <w:rPr>
                <w:rFonts w:ascii="仿宋" w:hAnsi="仿宋" w:eastAsia="仿宋" w:cs="仿宋"/>
                <w:szCs w:val="21"/>
                <w:highlight w:val="none"/>
              </w:rPr>
            </w:pPr>
            <w:r>
              <w:rPr>
                <w:rFonts w:hint="eastAsia" w:ascii="仿宋" w:hAnsi="仿宋" w:eastAsia="仿宋" w:cs="仿宋"/>
                <w:szCs w:val="21"/>
                <w:highlight w:val="none"/>
              </w:rPr>
              <w:t>1、未按时足额供货的：合同期内，供应商未按采购人要求按时足额配送的，第一次给予警告，第二次约谈并出具整改通知书，第三次采购人有权没收履约保证金并取消供应资格，对采购人后勤保障服务造成不良影响或经济损失等后果的保留追究乙方的经济和法律权利。</w:t>
            </w:r>
          </w:p>
          <w:p w14:paraId="4DE6195E">
            <w:pPr>
              <w:adjustRightInd w:val="0"/>
              <w:snapToGrid w:val="0"/>
              <w:rPr>
                <w:rFonts w:ascii="仿宋" w:hAnsi="仿宋" w:eastAsia="仿宋" w:cs="仿宋"/>
                <w:szCs w:val="21"/>
                <w:highlight w:val="none"/>
              </w:rPr>
            </w:pPr>
            <w:r>
              <w:rPr>
                <w:rFonts w:hint="eastAsia" w:ascii="仿宋" w:hAnsi="仿宋" w:eastAsia="仿宋" w:cs="仿宋"/>
                <w:szCs w:val="21"/>
                <w:highlight w:val="none"/>
              </w:rPr>
              <w:t>2、配送的物资有质量问题出现退换货情形的：合同期内，供应商配送物资出现质量问题，第一次给予警告，第二次约谈并出具整改通知书，第三次采购人有权没收履约保证金并取消供应资格。采购人有权拒收包装不合格的货物；有权拒收保质期不合格的货物，做退换货处理；有权拒收质量存疑的货物（如色味异常、检验资料不齐、无效等情形），对采购人后勤保障服务造成不良影响或经济损失等后果的保留追究乙方的经济和法律权利。</w:t>
            </w:r>
          </w:p>
          <w:p w14:paraId="0F67FDA6">
            <w:pPr>
              <w:adjustRightInd w:val="0"/>
              <w:snapToGrid w:val="0"/>
              <w:rPr>
                <w:rFonts w:ascii="仿宋" w:hAnsi="仿宋" w:eastAsia="仿宋" w:cs="仿宋"/>
                <w:szCs w:val="21"/>
                <w:highlight w:val="none"/>
              </w:rPr>
            </w:pPr>
            <w:r>
              <w:rPr>
                <w:rFonts w:hint="eastAsia" w:ascii="仿宋" w:hAnsi="仿宋" w:eastAsia="仿宋" w:cs="仿宋"/>
                <w:szCs w:val="21"/>
                <w:highlight w:val="none"/>
              </w:rPr>
              <w:t>3、配送的物资有质量问题导致安全事故的，供应商承担全部责任，直接取消供应资格，终止合同，当批的物资货款不予支付，没收全部履约保证金，保留追究供应商的经济和法律权利。</w:t>
            </w:r>
          </w:p>
          <w:p w14:paraId="0BFFD9FB">
            <w:pPr>
              <w:adjustRightInd w:val="0"/>
              <w:snapToGrid w:val="0"/>
              <w:rPr>
                <w:rFonts w:ascii="仿宋" w:hAnsi="仿宋" w:eastAsia="仿宋" w:cs="仿宋"/>
                <w:szCs w:val="21"/>
                <w:highlight w:val="none"/>
              </w:rPr>
            </w:pPr>
            <w:r>
              <w:rPr>
                <w:rFonts w:hint="eastAsia" w:ascii="仿宋" w:hAnsi="仿宋" w:eastAsia="仿宋" w:cs="仿宋"/>
                <w:szCs w:val="21"/>
                <w:highlight w:val="none"/>
              </w:rPr>
              <w:t>4、供应商配送售后服务不能得到保障（如不能提供合格证、质保期不能保证、服务差等情形）的，采购人有权取消供应资格。</w:t>
            </w:r>
          </w:p>
        </w:tc>
      </w:tr>
    </w:tbl>
    <w:p w14:paraId="2DD04EA0">
      <w:pPr>
        <w:adjustRightInd w:val="0"/>
        <w:snapToGrid w:val="0"/>
        <w:rPr>
          <w:rStyle w:val="17"/>
          <w:rFonts w:hint="default" w:ascii="仿宋" w:hAnsi="仿宋" w:eastAsia="仿宋" w:cs="仿宋"/>
          <w:b w:val="0"/>
          <w:bCs w:val="0"/>
          <w:color w:val="auto"/>
          <w:highlight w:val="none"/>
          <w:lang w:bidi="ar"/>
        </w:rPr>
      </w:pPr>
    </w:p>
    <w:p w14:paraId="2B650C4B">
      <w:pPr>
        <w:spacing w:line="360" w:lineRule="auto"/>
        <w:rPr>
          <w:rFonts w:ascii="仿宋" w:hAnsi="仿宋" w:eastAsia="仿宋" w:cs="仿宋"/>
          <w:b/>
          <w:sz w:val="28"/>
          <w:szCs w:val="32"/>
          <w:highlight w:val="none"/>
        </w:rPr>
      </w:pPr>
      <w:r>
        <w:rPr>
          <w:rFonts w:hint="eastAsia" w:ascii="仿宋" w:hAnsi="仿宋" w:eastAsia="仿宋" w:cs="仿宋"/>
          <w:b/>
          <w:sz w:val="28"/>
          <w:szCs w:val="32"/>
          <w:highlight w:val="none"/>
        </w:rPr>
        <w:t>五、评审方法</w:t>
      </w:r>
    </w:p>
    <w:p w14:paraId="23375662">
      <w:pPr>
        <w:spacing w:line="360" w:lineRule="auto"/>
        <w:ind w:firstLine="420" w:firstLineChars="200"/>
        <w:rPr>
          <w:rStyle w:val="17"/>
          <w:rFonts w:hint="default" w:ascii="仿宋" w:hAnsi="仿宋" w:eastAsia="仿宋" w:cs="仿宋"/>
          <w:b w:val="0"/>
          <w:bCs w:val="0"/>
          <w:kern w:val="0"/>
          <w:sz w:val="21"/>
          <w:szCs w:val="21"/>
          <w:highlight w:val="none"/>
          <w:lang w:bidi="ar"/>
        </w:rPr>
      </w:pPr>
      <w:r>
        <w:rPr>
          <w:rFonts w:hint="eastAsia" w:ascii="仿宋" w:hAnsi="仿宋" w:eastAsia="仿宋" w:cs="仿宋"/>
          <w:color w:val="000000"/>
          <w:kern w:val="0"/>
          <w:szCs w:val="21"/>
          <w:highlight w:val="none"/>
          <w:lang w:bidi="ar"/>
        </w:rPr>
        <w:t>最低报价法，投标人根据货物控制单价，结合自身实际情况填报下浮率，最终结算价格=控制单价*（1-下浮率）。结算价格包括但不限于人工费、交通费、运输费、保险费、管理费、利润、税金等与本项目相关的费用，采购人不再支付其他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bb25c515-73d4-4925-a44d-b44e2a96dafb"/>
  </w:docVars>
  <w:rsids>
    <w:rsidRoot w:val="00895A15"/>
    <w:rsid w:val="00005DEC"/>
    <w:rsid w:val="00007AE6"/>
    <w:rsid w:val="00026BC3"/>
    <w:rsid w:val="000435C2"/>
    <w:rsid w:val="00050E50"/>
    <w:rsid w:val="00064B10"/>
    <w:rsid w:val="000A79AF"/>
    <w:rsid w:val="000D6DAB"/>
    <w:rsid w:val="000E0277"/>
    <w:rsid w:val="00135F74"/>
    <w:rsid w:val="001447E1"/>
    <w:rsid w:val="001470CC"/>
    <w:rsid w:val="00150EB6"/>
    <w:rsid w:val="00164DEC"/>
    <w:rsid w:val="0017520F"/>
    <w:rsid w:val="001A486E"/>
    <w:rsid w:val="00220833"/>
    <w:rsid w:val="00221606"/>
    <w:rsid w:val="002939BC"/>
    <w:rsid w:val="002A2F5E"/>
    <w:rsid w:val="002A4CAB"/>
    <w:rsid w:val="002C6171"/>
    <w:rsid w:val="002F4C1F"/>
    <w:rsid w:val="00303FAB"/>
    <w:rsid w:val="003239F6"/>
    <w:rsid w:val="00351034"/>
    <w:rsid w:val="00372D52"/>
    <w:rsid w:val="00391D9C"/>
    <w:rsid w:val="003A3B04"/>
    <w:rsid w:val="003B7BF6"/>
    <w:rsid w:val="003E4A0C"/>
    <w:rsid w:val="003E51F5"/>
    <w:rsid w:val="003F419F"/>
    <w:rsid w:val="004131EB"/>
    <w:rsid w:val="004363DA"/>
    <w:rsid w:val="00447D67"/>
    <w:rsid w:val="00455E6D"/>
    <w:rsid w:val="00467EA3"/>
    <w:rsid w:val="004A0AFA"/>
    <w:rsid w:val="004A23B1"/>
    <w:rsid w:val="004C3BCB"/>
    <w:rsid w:val="004E00CB"/>
    <w:rsid w:val="004E65CD"/>
    <w:rsid w:val="00503BF8"/>
    <w:rsid w:val="0050457A"/>
    <w:rsid w:val="0053725E"/>
    <w:rsid w:val="005405E2"/>
    <w:rsid w:val="00555235"/>
    <w:rsid w:val="00580D5C"/>
    <w:rsid w:val="00594758"/>
    <w:rsid w:val="005A2302"/>
    <w:rsid w:val="005B60D0"/>
    <w:rsid w:val="005C7612"/>
    <w:rsid w:val="005F06CD"/>
    <w:rsid w:val="006243FF"/>
    <w:rsid w:val="00642E82"/>
    <w:rsid w:val="00655A0B"/>
    <w:rsid w:val="00673EF2"/>
    <w:rsid w:val="006E400B"/>
    <w:rsid w:val="006E610A"/>
    <w:rsid w:val="006E62A9"/>
    <w:rsid w:val="00731B39"/>
    <w:rsid w:val="00765FD6"/>
    <w:rsid w:val="00766026"/>
    <w:rsid w:val="0077064B"/>
    <w:rsid w:val="007778CB"/>
    <w:rsid w:val="007826DA"/>
    <w:rsid w:val="007B3AF9"/>
    <w:rsid w:val="007B7FE3"/>
    <w:rsid w:val="00804625"/>
    <w:rsid w:val="00813F0D"/>
    <w:rsid w:val="0083298B"/>
    <w:rsid w:val="00870A54"/>
    <w:rsid w:val="00890DB5"/>
    <w:rsid w:val="00892A2B"/>
    <w:rsid w:val="00895A15"/>
    <w:rsid w:val="008E66D1"/>
    <w:rsid w:val="00901FFD"/>
    <w:rsid w:val="0092140C"/>
    <w:rsid w:val="00944CC9"/>
    <w:rsid w:val="0096136F"/>
    <w:rsid w:val="009674E2"/>
    <w:rsid w:val="00996AB4"/>
    <w:rsid w:val="00996DBE"/>
    <w:rsid w:val="009B5E25"/>
    <w:rsid w:val="009C5CC7"/>
    <w:rsid w:val="009D47A6"/>
    <w:rsid w:val="00A01F03"/>
    <w:rsid w:val="00A05488"/>
    <w:rsid w:val="00A1576D"/>
    <w:rsid w:val="00A17C9E"/>
    <w:rsid w:val="00A446C9"/>
    <w:rsid w:val="00A452BD"/>
    <w:rsid w:val="00A543EE"/>
    <w:rsid w:val="00A5630D"/>
    <w:rsid w:val="00AA17B6"/>
    <w:rsid w:val="00AE28EF"/>
    <w:rsid w:val="00B25658"/>
    <w:rsid w:val="00B5433D"/>
    <w:rsid w:val="00B661F4"/>
    <w:rsid w:val="00B85BAF"/>
    <w:rsid w:val="00BA2C4D"/>
    <w:rsid w:val="00BC4EC0"/>
    <w:rsid w:val="00BE2727"/>
    <w:rsid w:val="00C13086"/>
    <w:rsid w:val="00C91C28"/>
    <w:rsid w:val="00CC2994"/>
    <w:rsid w:val="00CD56EE"/>
    <w:rsid w:val="00CD6408"/>
    <w:rsid w:val="00CD75AA"/>
    <w:rsid w:val="00CF59B9"/>
    <w:rsid w:val="00D200CC"/>
    <w:rsid w:val="00D3314D"/>
    <w:rsid w:val="00D56803"/>
    <w:rsid w:val="00D64981"/>
    <w:rsid w:val="00D85C8E"/>
    <w:rsid w:val="00DC5E7E"/>
    <w:rsid w:val="00DD21A0"/>
    <w:rsid w:val="00DD79CA"/>
    <w:rsid w:val="00DE1C07"/>
    <w:rsid w:val="00DE3CC4"/>
    <w:rsid w:val="00DE5AEB"/>
    <w:rsid w:val="00E1752E"/>
    <w:rsid w:val="00E35F79"/>
    <w:rsid w:val="00E43E33"/>
    <w:rsid w:val="00E450DB"/>
    <w:rsid w:val="00E7096F"/>
    <w:rsid w:val="00E83412"/>
    <w:rsid w:val="00EB7402"/>
    <w:rsid w:val="00ED66AF"/>
    <w:rsid w:val="00EF562B"/>
    <w:rsid w:val="00EF6858"/>
    <w:rsid w:val="00F01791"/>
    <w:rsid w:val="00F01D67"/>
    <w:rsid w:val="00F26AA7"/>
    <w:rsid w:val="00F46073"/>
    <w:rsid w:val="00F55787"/>
    <w:rsid w:val="00F87AAD"/>
    <w:rsid w:val="00F90DEE"/>
    <w:rsid w:val="00F93342"/>
    <w:rsid w:val="00F94EEF"/>
    <w:rsid w:val="00FB4AF0"/>
    <w:rsid w:val="00FC3B8B"/>
    <w:rsid w:val="00FD070D"/>
    <w:rsid w:val="00FF0912"/>
    <w:rsid w:val="00FF5098"/>
    <w:rsid w:val="00FF5838"/>
    <w:rsid w:val="00FF594A"/>
    <w:rsid w:val="019127B6"/>
    <w:rsid w:val="034117BA"/>
    <w:rsid w:val="03722B8F"/>
    <w:rsid w:val="03BC0D3F"/>
    <w:rsid w:val="05863A5B"/>
    <w:rsid w:val="0680593D"/>
    <w:rsid w:val="09BD6B69"/>
    <w:rsid w:val="09D6775D"/>
    <w:rsid w:val="0D010895"/>
    <w:rsid w:val="13E1587A"/>
    <w:rsid w:val="18A4221F"/>
    <w:rsid w:val="18AA3680"/>
    <w:rsid w:val="1A8B7005"/>
    <w:rsid w:val="1E9F6C6F"/>
    <w:rsid w:val="21A40F1A"/>
    <w:rsid w:val="2424020B"/>
    <w:rsid w:val="289777EE"/>
    <w:rsid w:val="29930F11"/>
    <w:rsid w:val="2B033C0C"/>
    <w:rsid w:val="2C9E0542"/>
    <w:rsid w:val="2CB72838"/>
    <w:rsid w:val="2CF03F85"/>
    <w:rsid w:val="2D2C42AF"/>
    <w:rsid w:val="2E3F5A2D"/>
    <w:rsid w:val="2E47255A"/>
    <w:rsid w:val="30496C99"/>
    <w:rsid w:val="31030DBF"/>
    <w:rsid w:val="316802C2"/>
    <w:rsid w:val="34AC7D72"/>
    <w:rsid w:val="386E1A9D"/>
    <w:rsid w:val="3879378A"/>
    <w:rsid w:val="3B0B6BDE"/>
    <w:rsid w:val="410E782D"/>
    <w:rsid w:val="44FA6A22"/>
    <w:rsid w:val="453641BF"/>
    <w:rsid w:val="48324EAB"/>
    <w:rsid w:val="48C57A10"/>
    <w:rsid w:val="49892535"/>
    <w:rsid w:val="4C056A16"/>
    <w:rsid w:val="4C936320"/>
    <w:rsid w:val="4ED50B71"/>
    <w:rsid w:val="506D346E"/>
    <w:rsid w:val="51391BC6"/>
    <w:rsid w:val="54F10069"/>
    <w:rsid w:val="55FC2F9A"/>
    <w:rsid w:val="56C53E05"/>
    <w:rsid w:val="5A7140A7"/>
    <w:rsid w:val="5D641F1C"/>
    <w:rsid w:val="5F586E3A"/>
    <w:rsid w:val="64E45081"/>
    <w:rsid w:val="651838A9"/>
    <w:rsid w:val="67DE35FD"/>
    <w:rsid w:val="67FA1673"/>
    <w:rsid w:val="6B9240B0"/>
    <w:rsid w:val="6C864365"/>
    <w:rsid w:val="6CD966B8"/>
    <w:rsid w:val="6D11251F"/>
    <w:rsid w:val="6DF03896"/>
    <w:rsid w:val="6F02289B"/>
    <w:rsid w:val="70DE5573"/>
    <w:rsid w:val="71135756"/>
    <w:rsid w:val="73660227"/>
    <w:rsid w:val="73FA0530"/>
    <w:rsid w:val="759D2386"/>
    <w:rsid w:val="77C863C8"/>
    <w:rsid w:val="7C241633"/>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jc w:val="left"/>
    </w:pPr>
  </w:style>
  <w:style w:type="paragraph" w:styleId="4">
    <w:name w:val="annotation text"/>
    <w:basedOn w:val="1"/>
    <w:link w:val="28"/>
    <w:qFormat/>
    <w:uiPriority w:val="0"/>
    <w:pPr>
      <w:jc w:val="left"/>
    </w:pPr>
  </w:style>
  <w:style w:type="paragraph" w:styleId="5">
    <w:name w:val="Body Text"/>
    <w:basedOn w:val="1"/>
    <w:next w:val="6"/>
    <w:link w:val="18"/>
    <w:qFormat/>
    <w:uiPriority w:val="0"/>
    <w:pPr>
      <w:spacing w:after="120"/>
    </w:pPr>
  </w:style>
  <w:style w:type="paragraph" w:styleId="6">
    <w:name w:val="Plain Text"/>
    <w:basedOn w:val="1"/>
    <w:next w:val="3"/>
    <w:link w:val="19"/>
    <w:qFormat/>
    <w:uiPriority w:val="0"/>
    <w:rPr>
      <w:rFonts w:ascii="宋体" w:hAnsi="Courier New"/>
      <w:kern w:val="0"/>
      <w:sz w:val="20"/>
      <w:szCs w:val="21"/>
    </w:rPr>
  </w:style>
  <w:style w:type="paragraph" w:styleId="7">
    <w:name w:val="Body Text Indent"/>
    <w:basedOn w:val="1"/>
    <w:qFormat/>
    <w:uiPriority w:val="0"/>
    <w:pPr>
      <w:ind w:firstLine="795"/>
    </w:pPr>
    <w:rPr>
      <w:rFonts w:ascii="Times New Roman"/>
      <w:sz w:val="32"/>
    </w:rPr>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styleId="16">
    <w:name w:val="annotation reference"/>
    <w:basedOn w:val="14"/>
    <w:unhideWhenUsed/>
    <w:qFormat/>
    <w:uiPriority w:val="0"/>
    <w:rPr>
      <w:sz w:val="21"/>
      <w:szCs w:val="21"/>
    </w:rPr>
  </w:style>
  <w:style w:type="character" w:customStyle="1" w:styleId="17">
    <w:name w:val="font11"/>
    <w:basedOn w:val="14"/>
    <w:qFormat/>
    <w:uiPriority w:val="0"/>
    <w:rPr>
      <w:rFonts w:hint="eastAsia" w:ascii="宋体" w:hAnsi="宋体" w:eastAsia="宋体" w:cs="宋体"/>
      <w:b/>
      <w:bCs/>
      <w:color w:val="000000"/>
      <w:sz w:val="20"/>
      <w:szCs w:val="20"/>
      <w:u w:val="none"/>
    </w:rPr>
  </w:style>
  <w:style w:type="character" w:customStyle="1" w:styleId="18">
    <w:name w:val="正文文本 字符"/>
    <w:basedOn w:val="14"/>
    <w:link w:val="5"/>
    <w:qFormat/>
    <w:uiPriority w:val="0"/>
  </w:style>
  <w:style w:type="character" w:customStyle="1" w:styleId="19">
    <w:name w:val="纯文本 字符"/>
    <w:basedOn w:val="14"/>
    <w:link w:val="6"/>
    <w:qFormat/>
    <w:uiPriority w:val="0"/>
    <w:rPr>
      <w:rFonts w:ascii="宋体" w:hAnsi="Courier New"/>
      <w:kern w:val="0"/>
      <w:sz w:val="20"/>
      <w:szCs w:val="21"/>
    </w:rPr>
  </w:style>
  <w:style w:type="paragraph" w:customStyle="1" w:styleId="2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1">
    <w:name w:val="font31"/>
    <w:basedOn w:val="14"/>
    <w:qFormat/>
    <w:uiPriority w:val="0"/>
    <w:rPr>
      <w:rFonts w:hint="eastAsia" w:ascii="宋体" w:hAnsi="宋体" w:eastAsia="宋体" w:cs="宋体"/>
      <w:b/>
      <w:bCs/>
      <w:color w:val="000000"/>
      <w:sz w:val="20"/>
      <w:szCs w:val="20"/>
      <w:u w:val="none"/>
    </w:rPr>
  </w:style>
  <w:style w:type="character" w:customStyle="1" w:styleId="22">
    <w:name w:val="页眉 字符"/>
    <w:basedOn w:val="14"/>
    <w:link w:val="10"/>
    <w:qFormat/>
    <w:uiPriority w:val="99"/>
    <w:rPr>
      <w:sz w:val="18"/>
      <w:szCs w:val="18"/>
    </w:rPr>
  </w:style>
  <w:style w:type="character" w:customStyle="1" w:styleId="23">
    <w:name w:val="页脚 字符"/>
    <w:basedOn w:val="14"/>
    <w:link w:val="9"/>
    <w:qFormat/>
    <w:uiPriority w:val="99"/>
    <w:rPr>
      <w:sz w:val="18"/>
      <w:szCs w:val="18"/>
    </w:rPr>
  </w:style>
  <w:style w:type="character" w:customStyle="1" w:styleId="24">
    <w:name w:val="批注框文本 字符"/>
    <w:basedOn w:val="14"/>
    <w:link w:val="8"/>
    <w:semiHidden/>
    <w:qFormat/>
    <w:uiPriority w:val="99"/>
    <w:rPr>
      <w:sz w:val="18"/>
      <w:szCs w:val="18"/>
    </w:rPr>
  </w:style>
  <w:style w:type="character" w:customStyle="1" w:styleId="25">
    <w:name w:val="font21"/>
    <w:basedOn w:val="14"/>
    <w:qFormat/>
    <w:uiPriority w:val="0"/>
    <w:rPr>
      <w:rFonts w:hint="eastAsia" w:ascii="宋体" w:hAnsi="宋体" w:eastAsia="宋体" w:cs="宋体"/>
      <w:color w:val="000000"/>
      <w:sz w:val="21"/>
      <w:szCs w:val="21"/>
      <w:u w:val="none"/>
    </w:rPr>
  </w:style>
  <w:style w:type="paragraph" w:customStyle="1" w:styleId="26">
    <w:name w:val="正文 A"/>
    <w:qFormat/>
    <w:uiPriority w:val="0"/>
    <w:pPr>
      <w:framePr w:wrap="around" w:vAnchor="margin" w:hAnchor="text" w:y="1"/>
      <w:widowControl w:val="0"/>
      <w:jc w:val="both"/>
    </w:pPr>
    <w:rPr>
      <w:rFonts w:ascii="宋体" w:hAnsi="宋体" w:eastAsia="宋体" w:cs="宋体"/>
      <w:color w:val="000000"/>
      <w:sz w:val="34"/>
      <w:szCs w:val="34"/>
      <w:lang w:val="en-US" w:eastAsia="zh-CN" w:bidi="ar-SA"/>
    </w:rPr>
  </w:style>
  <w:style w:type="paragraph" w:styleId="27">
    <w:name w:val="List Paragraph"/>
    <w:basedOn w:val="1"/>
    <w:qFormat/>
    <w:uiPriority w:val="99"/>
    <w:pPr>
      <w:ind w:firstLine="420" w:firstLineChars="200"/>
    </w:pPr>
  </w:style>
  <w:style w:type="character" w:customStyle="1" w:styleId="28">
    <w:name w:val="批注文字 字符"/>
    <w:link w:val="4"/>
    <w:qFormat/>
    <w:uiPriority w:val="0"/>
    <w:rPr>
      <w:rFonts w:asciiTheme="minorHAnsi" w:hAnsiTheme="minorHAnsi" w:eastAsiaTheme="minorEastAsia" w:cstheme="minorBidi"/>
      <w:kern w:val="2"/>
      <w:sz w:val="21"/>
      <w:szCs w:val="22"/>
    </w:rPr>
  </w:style>
  <w:style w:type="paragraph" w:customStyle="1" w:styleId="2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CA67-12B7-496F-9861-EBA13DF3F5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2134</Words>
  <Characters>2274</Characters>
  <Lines>32</Lines>
  <Paragraphs>9</Paragraphs>
  <TotalTime>1</TotalTime>
  <ScaleCrop>false</ScaleCrop>
  <LinksUpToDate>false</LinksUpToDate>
  <CharactersWithSpaces>2288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Diana</cp:lastModifiedBy>
  <dcterms:modified xsi:type="dcterms:W3CDTF">2026-03-31T01:27:58Z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42DC672BA65F448EA093ECC6D07868DB_13</vt:lpwstr>
  </property>
  <property fmtid="{D5CDD505-2E9C-101B-9397-08002B2CF9AE}" pid="4" name="KSOTemplateDocerSaveRecord">
    <vt:lpwstr>eyJoZGlkIjoiMWNjM2Q1MmVhODRhZmE2ZDQ4MzMwMGFjODE2YWQ0OGEiLCJ1c2VySWQiOiI1NzcxODcwMTMifQ==</vt:lpwstr>
  </property>
</Properties>
</file>