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35B3C">
      <w:pPr>
        <w:widowControl/>
        <w:shd w:val="clear" w:color="auto" w:fill="FFFFFF"/>
        <w:spacing w:line="480" w:lineRule="auto"/>
        <w:jc w:val="center"/>
        <w:outlineLvl w:val="0"/>
        <w:rPr>
          <w:rFonts w:ascii="宋体" w:hAnsi="宋体" w:eastAsia="宋体" w:cs="宋体"/>
          <w:b/>
          <w:bCs/>
          <w:color w:val="000000" w:themeColor="text1"/>
          <w:kern w:val="36"/>
          <w:sz w:val="48"/>
          <w:szCs w:val="48"/>
        </w:rPr>
      </w:pPr>
      <w:r>
        <w:rPr>
          <w:rFonts w:hint="eastAsia" w:ascii="宋体" w:hAnsi="宋体" w:eastAsia="宋体" w:cs="宋体"/>
          <w:b/>
          <w:bCs/>
          <w:color w:val="000000" w:themeColor="text1"/>
          <w:kern w:val="36"/>
          <w:sz w:val="48"/>
          <w:szCs w:val="48"/>
        </w:rPr>
        <w:t>政府采购项目采购需求（服务</w:t>
      </w:r>
      <w:r>
        <w:rPr>
          <w:rFonts w:ascii="宋体" w:hAnsi="宋体" w:eastAsia="宋体" w:cs="宋体"/>
          <w:b/>
          <w:bCs/>
          <w:color w:val="000000" w:themeColor="text1"/>
          <w:kern w:val="36"/>
          <w:sz w:val="48"/>
          <w:szCs w:val="48"/>
        </w:rPr>
        <w:t>类</w:t>
      </w:r>
      <w:r>
        <w:rPr>
          <w:rFonts w:hint="eastAsia" w:ascii="宋体" w:hAnsi="宋体" w:eastAsia="宋体" w:cs="宋体"/>
          <w:b/>
          <w:bCs/>
          <w:color w:val="000000" w:themeColor="text1"/>
          <w:kern w:val="36"/>
          <w:sz w:val="48"/>
          <w:szCs w:val="48"/>
        </w:rPr>
        <w:t>）</w:t>
      </w:r>
    </w:p>
    <w:p w14:paraId="00CB2691">
      <w:pPr>
        <w:widowControl/>
        <w:shd w:val="clear" w:color="auto" w:fill="FFFFFF"/>
        <w:spacing w:line="480" w:lineRule="auto"/>
        <w:jc w:val="right"/>
        <w:outlineLvl w:val="2"/>
        <w:rPr>
          <w:rFonts w:ascii="宋体" w:hAnsi="宋体" w:eastAsia="宋体" w:cs="宋体"/>
          <w:color w:val="000000" w:themeColor="text1"/>
          <w:kern w:val="0"/>
          <w:sz w:val="27"/>
          <w:szCs w:val="27"/>
        </w:rPr>
      </w:pPr>
    </w:p>
    <w:p w14:paraId="3C2F719D">
      <w:pPr>
        <w:widowControl/>
        <w:shd w:val="clear" w:color="auto" w:fill="FFFFFF"/>
        <w:spacing w:line="480" w:lineRule="auto"/>
        <w:ind w:right="1080"/>
        <w:outlineLvl w:val="2"/>
        <w:rPr>
          <w:rFonts w:ascii="宋体" w:hAnsi="宋体" w:eastAsia="宋体" w:cs="宋体"/>
          <w:color w:val="000000" w:themeColor="text1"/>
          <w:kern w:val="0"/>
          <w:sz w:val="27"/>
          <w:szCs w:val="27"/>
        </w:rPr>
      </w:pPr>
      <w:r>
        <w:rPr>
          <w:rFonts w:hint="eastAsia" w:ascii="宋体" w:hAnsi="宋体" w:eastAsia="宋体" w:cs="宋体"/>
          <w:color w:val="000000" w:themeColor="text1"/>
          <w:kern w:val="0"/>
          <w:sz w:val="27"/>
          <w:szCs w:val="27"/>
        </w:rPr>
        <w:t>采购单位（盖章）：后勤服务总公司</w:t>
      </w:r>
    </w:p>
    <w:p w14:paraId="5724C064">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一、项目总体情况</w:t>
      </w:r>
    </w:p>
    <w:p w14:paraId="1FD4E3C7">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（一）项目名称：西华大学第五、第六教学楼、行政楼、二办公区、行政楼旁原锦地苑浴室办公区物业管理服务政府采购项目</w:t>
      </w:r>
    </w:p>
    <w:p w14:paraId="30E5FA00">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（二）项目所属年度：2022年度</w:t>
      </w:r>
    </w:p>
    <w:p w14:paraId="640532C8">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（三）项目所属分类：</w:t>
      </w:r>
      <w:r>
        <w:rPr>
          <w:rFonts w:hint="eastAsia" w:ascii="宋体" w:hAnsi="宋体" w:eastAsia="宋体" w:cs="宋体"/>
          <w:b/>
          <w:color w:val="000000" w:themeColor="text1"/>
          <w:kern w:val="0"/>
          <w:sz w:val="24"/>
          <w:szCs w:val="24"/>
        </w:rPr>
        <w:t>服务</w:t>
      </w:r>
    </w:p>
    <w:p w14:paraId="1C0422F6">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（四）预算金额（元）：428万元，大写（人民币）：肆佰贰拾捌万元整</w:t>
      </w:r>
    </w:p>
    <w:p w14:paraId="7A76B8C2">
      <w:pPr>
        <w:widowControl/>
        <w:shd w:val="clear" w:color="auto" w:fill="FFFFFF"/>
        <w:spacing w:line="480" w:lineRule="auto"/>
        <w:ind w:firstLine="1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最高限价（元）：428万元，大写（人民币）：肆佰贰拾捌万元整</w:t>
      </w:r>
    </w:p>
    <w:p w14:paraId="044AC21A">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（五）项目概况：</w:t>
      </w:r>
    </w:p>
    <w:p w14:paraId="19D37717">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1、项目地点：西华大学校本部。</w:t>
      </w:r>
    </w:p>
    <w:p w14:paraId="68F8BFBD">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物业基本情况：西华大学第五、第六教学楼、行政楼、二办公区、行政楼旁原锦地苑浴室办公区卫生安全秩序管理、卫生保洁、水电保障、绿化养护、维修等物业管理服务（总建筑面积约11.7万㎡，绿化面积：约2万㎡）。</w:t>
      </w:r>
    </w:p>
    <w:p w14:paraId="0FC04F98">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物业服务内容：环境卫生保洁（第五教学楼、第六教学楼、行政办公楼、第二办公区、行政楼旁原锦地苑浴室办公区的所有公共区域、公共房间、公共会议室、设备房，各部门的办公室、会议室、实验室除外）、安全秩序管理、绿化养护管理（行政办公楼平台绿植租摆、行政楼5楼办公室、会议室植物租摆服务及内庭绿化、第五第六教学楼内庭绿化养护）、多媒体教室管理与行政办公楼多媒体设备的日常管理、会议服务、设施设备管理与维修、喷水池管理等。</w:t>
      </w:r>
    </w:p>
    <w:p w14:paraId="16025A14">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4、清洁用具、保洁材料、垃圾袋、安全用工具（如警具、对讲机等）、教室所用粉笔、黑板刷、绿化材料和工具全部由物业公司提供。</w:t>
      </w:r>
    </w:p>
    <w:p w14:paraId="6304C362">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5、物业中标价为物业管理的含税包干经费，该包干经费不随国家、地方法律法规、其他相关政策性调整以及管理教室用途、房屋用途变更而增加。同时，学校根据对物业服务的考核情况，保留终止合同的权利。</w:t>
      </w:r>
    </w:p>
    <w:p w14:paraId="2F7E5D60">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（六）本项目是否有为采购项目提供整体设计、规范编制或者项目管理、监理、检测等服务的供应商：□是（填以下信息）</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否</w:t>
      </w:r>
    </w:p>
    <w:p w14:paraId="29088EF0">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供应商名称：</w:t>
      </w:r>
    </w:p>
    <w:p w14:paraId="23FF5524">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供应商统一社会信用代码：</w:t>
      </w:r>
    </w:p>
    <w:p w14:paraId="781523AA">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二、项目需求调查情况</w:t>
      </w:r>
    </w:p>
    <w:p w14:paraId="559E7D5C">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依据《政府采购需求管理办法》的规定，□本项目需要（填以下信息）   </w:t>
      </w:r>
      <w:r>
        <w:rPr>
          <w:rFonts w:hint="eastAsia" w:ascii="宋体" w:hAnsi="宋体" w:eastAsia="宋体" w:cs="宋体"/>
          <w:color w:val="000000" w:themeColor="text1"/>
          <w:kern w:val="0"/>
          <w:sz w:val="24"/>
          <w:szCs w:val="24"/>
        </w:rPr>
        <w:sym w:font="Wingdings" w:char="00FE"/>
      </w:r>
      <w:r>
        <w:rPr>
          <w:rFonts w:hint="eastAsia" w:ascii="宋体" w:hAnsi="宋体" w:eastAsia="宋体" w:cs="宋体"/>
          <w:color w:val="000000" w:themeColor="text1"/>
          <w:kern w:val="0"/>
          <w:sz w:val="24"/>
          <w:szCs w:val="24"/>
        </w:rPr>
        <w:t>不需要 需求调查，具体情况如下：</w:t>
      </w:r>
    </w:p>
    <w:p w14:paraId="6305017E">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·本项目属于以下应当展开需求的情形</w:t>
      </w:r>
    </w:p>
    <w:p w14:paraId="7CBFDA39">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□1000万元以上的货物、服务采购项目，3000万元以上的工程采购项目；</w:t>
      </w:r>
    </w:p>
    <w:p w14:paraId="6D98A041">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□涉及公共利益、社会关注度较高的采购项目，包括政府向社会公众提供的公共服务项目等；</w:t>
      </w:r>
    </w:p>
    <w:p w14:paraId="710242A7">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□技术复杂、专业性较强的项目，包括需定制开发的信息化建设项目、采购进口产品的项目等；</w:t>
      </w:r>
    </w:p>
    <w:p w14:paraId="700A195A">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□主管预算单位或者采购人认为需要开展需求调查的其他采购项目。</w:t>
      </w:r>
    </w:p>
    <w:p w14:paraId="289EA2BD">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·本项目属于以下可以不再重复开展需求调查的情形</w:t>
      </w:r>
    </w:p>
    <w:p w14:paraId="05CF823C">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□编制采购需求前一年内，采购人已就相关采购标的开展过需求调查的可以不再重复开展。</w:t>
      </w:r>
    </w:p>
    <w:p w14:paraId="7116A0FF">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□按照法律法规的规定，对采购项目开展可行性研究等前期工作，已包含需求调查内容的，可以不再重复调查</w:t>
      </w:r>
    </w:p>
    <w:p w14:paraId="3894FEF1">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（一）需求调查方式:</w:t>
      </w:r>
    </w:p>
    <w:p w14:paraId="67FDB902">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□咨询□论证□调查问卷</w:t>
      </w:r>
    </w:p>
    <w:p w14:paraId="6F0709E8">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（二）需求调查对象:</w:t>
      </w:r>
    </w:p>
    <w:p w14:paraId="2C6A304D">
      <w:pPr>
        <w:widowControl/>
        <w:shd w:val="clear" w:color="auto" w:fill="FFFFFF"/>
        <w:spacing w:line="480" w:lineRule="auto"/>
        <w:ind w:firstLine="420"/>
        <w:rPr>
          <w:rFonts w:ascii="宋体" w:hAnsi="宋体" w:eastAsia="宋体" w:cs="宋体"/>
          <w:color w:val="000000" w:themeColor="text1"/>
          <w:kern w:val="0"/>
          <w:sz w:val="24"/>
          <w:szCs w:val="24"/>
        </w:rPr>
      </w:pPr>
    </w:p>
    <w:p w14:paraId="65328DA0">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（三）需求调查结果</w:t>
      </w:r>
    </w:p>
    <w:p w14:paraId="011D5199">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1.相关产业发展情况:</w:t>
      </w:r>
    </w:p>
    <w:p w14:paraId="3B2BA02A">
      <w:pPr>
        <w:widowControl/>
        <w:shd w:val="clear" w:color="auto" w:fill="FFFFFF"/>
        <w:spacing w:line="480" w:lineRule="auto"/>
        <w:ind w:firstLine="840"/>
        <w:rPr>
          <w:rFonts w:ascii="宋体" w:hAnsi="宋体" w:eastAsia="宋体" w:cs="宋体"/>
          <w:color w:val="000000" w:themeColor="text1"/>
          <w:kern w:val="0"/>
          <w:sz w:val="24"/>
          <w:szCs w:val="24"/>
        </w:rPr>
      </w:pPr>
    </w:p>
    <w:p w14:paraId="2DDBF83D">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2.市场供给情况:</w:t>
      </w:r>
    </w:p>
    <w:p w14:paraId="171F8212">
      <w:pPr>
        <w:widowControl/>
        <w:shd w:val="clear" w:color="auto" w:fill="FFFFFF"/>
        <w:spacing w:line="480" w:lineRule="auto"/>
        <w:ind w:firstLine="840"/>
        <w:rPr>
          <w:rFonts w:ascii="宋体" w:hAnsi="宋体" w:eastAsia="宋体" w:cs="宋体"/>
          <w:color w:val="000000" w:themeColor="text1"/>
          <w:kern w:val="0"/>
          <w:sz w:val="24"/>
          <w:szCs w:val="24"/>
        </w:rPr>
      </w:pPr>
    </w:p>
    <w:p w14:paraId="5D681B3C">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3.同类采购项目历史成交信息情况:</w:t>
      </w:r>
    </w:p>
    <w:p w14:paraId="1CB4354B">
      <w:pPr>
        <w:widowControl/>
        <w:shd w:val="clear" w:color="auto" w:fill="FFFFFF"/>
        <w:spacing w:line="480" w:lineRule="auto"/>
        <w:ind w:firstLine="840"/>
        <w:rPr>
          <w:rFonts w:ascii="宋体" w:hAnsi="宋体" w:eastAsia="宋体" w:cs="宋体"/>
          <w:color w:val="000000" w:themeColor="text1"/>
          <w:kern w:val="0"/>
          <w:sz w:val="24"/>
          <w:szCs w:val="24"/>
        </w:rPr>
      </w:pPr>
    </w:p>
    <w:p w14:paraId="05C7F462">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4.可能涉及的运行维护、升级更新、备品备件、耗材等后续采购情况:</w:t>
      </w:r>
    </w:p>
    <w:p w14:paraId="163224B9">
      <w:pPr>
        <w:widowControl/>
        <w:shd w:val="clear" w:color="auto" w:fill="FFFFFF"/>
        <w:spacing w:line="480" w:lineRule="auto"/>
        <w:ind w:firstLine="840"/>
        <w:rPr>
          <w:rFonts w:ascii="宋体" w:hAnsi="宋体" w:eastAsia="宋体" w:cs="宋体"/>
          <w:color w:val="000000" w:themeColor="text1"/>
          <w:kern w:val="0"/>
          <w:sz w:val="24"/>
          <w:szCs w:val="24"/>
        </w:rPr>
      </w:pPr>
    </w:p>
    <w:p w14:paraId="279AD63F">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5.其他相关情况:</w:t>
      </w:r>
    </w:p>
    <w:p w14:paraId="7D8DB93C">
      <w:pPr>
        <w:widowControl/>
        <w:shd w:val="clear" w:color="auto" w:fill="FFFFFF"/>
        <w:spacing w:line="480" w:lineRule="auto"/>
        <w:ind w:firstLine="840"/>
        <w:rPr>
          <w:rFonts w:ascii="宋体" w:hAnsi="宋体" w:eastAsia="宋体" w:cs="宋体"/>
          <w:color w:val="000000" w:themeColor="text1"/>
          <w:kern w:val="0"/>
          <w:sz w:val="24"/>
          <w:szCs w:val="24"/>
        </w:rPr>
      </w:pPr>
    </w:p>
    <w:p w14:paraId="1A425D6D">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三、项目采购实施计划</w:t>
      </w:r>
    </w:p>
    <w:p w14:paraId="27089C7A">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（一）采购组织形式：</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政府集中采购 </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 xml:space="preserve">部门集中采购 </w:t>
      </w:r>
      <w:r>
        <w:rPr>
          <w:rFonts w:hint="eastAsia" w:ascii="宋体" w:hAnsi="宋体" w:eastAsia="宋体" w:cs="宋体"/>
          <w:color w:val="000000" w:themeColor="text1"/>
          <w:kern w:val="0"/>
          <w:sz w:val="24"/>
          <w:szCs w:val="24"/>
        </w:rPr>
        <w:sym w:font="Wingdings" w:char="00A8"/>
      </w:r>
      <w:r>
        <w:rPr>
          <w:rFonts w:hint="eastAsia" w:ascii="宋体" w:hAnsi="宋体" w:eastAsia="宋体" w:cs="宋体"/>
          <w:color w:val="000000" w:themeColor="text1"/>
          <w:kern w:val="0"/>
          <w:sz w:val="24"/>
          <w:szCs w:val="24"/>
        </w:rPr>
        <w:t>分散采购</w:t>
      </w:r>
    </w:p>
    <w:p w14:paraId="31081A9F">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（二）采购方式</w:t>
      </w:r>
      <w:r>
        <w:rPr>
          <w:rFonts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公开招标 □邀请</w:t>
      </w:r>
      <w:r>
        <w:rPr>
          <w:rFonts w:ascii="宋体" w:hAnsi="宋体" w:eastAsia="宋体" w:cs="宋体"/>
          <w:color w:val="000000" w:themeColor="text1"/>
          <w:kern w:val="0"/>
          <w:sz w:val="24"/>
          <w:szCs w:val="24"/>
        </w:rPr>
        <w:t>招标</w:t>
      </w:r>
      <w:r>
        <w:rPr>
          <w:rFonts w:hint="eastAsia" w:ascii="宋体" w:hAnsi="宋体" w:eastAsia="宋体" w:cs="宋体"/>
          <w:color w:val="000000" w:themeColor="text1"/>
          <w:kern w:val="0"/>
          <w:sz w:val="24"/>
          <w:szCs w:val="24"/>
        </w:rPr>
        <w:t xml:space="preserve"> □竞争性谈判 □询价 □单一来源□竞争性</w:t>
      </w:r>
      <w:r>
        <w:rPr>
          <w:rFonts w:ascii="宋体" w:hAnsi="宋体" w:eastAsia="宋体" w:cs="宋体"/>
          <w:color w:val="000000" w:themeColor="text1"/>
          <w:kern w:val="0"/>
          <w:sz w:val="24"/>
          <w:szCs w:val="24"/>
        </w:rPr>
        <w:t>磋商</w:t>
      </w:r>
    </w:p>
    <w:p w14:paraId="004A65A7">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（三）本项目是否单位自行组织采购：否</w:t>
      </w:r>
    </w:p>
    <w:p w14:paraId="60187A07">
      <w:pPr>
        <w:widowControl/>
        <w:shd w:val="clear" w:color="auto" w:fill="FFFFFF"/>
        <w:tabs>
          <w:tab w:val="left" w:pos="5535"/>
        </w:tabs>
        <w:spacing w:line="480" w:lineRule="auto"/>
        <w:ind w:firstLine="420"/>
        <w:rPr>
          <w:color w:val="000000" w:themeColor="text1"/>
          <w:sz w:val="24"/>
        </w:rPr>
      </w:pPr>
      <w:r>
        <w:rPr>
          <w:rFonts w:hint="eastAsia" w:ascii="宋体" w:hAnsi="宋体" w:eastAsia="宋体" w:cs="宋体"/>
          <w:color w:val="000000" w:themeColor="text1"/>
          <w:kern w:val="0"/>
          <w:sz w:val="24"/>
          <w:szCs w:val="24"/>
        </w:rPr>
        <w:t>（四）采购包划分</w:t>
      </w:r>
      <w:r>
        <w:rPr>
          <w:rFonts w:hint="eastAsia"/>
          <w:color w:val="000000" w:themeColor="text1"/>
        </w:rPr>
        <w:t>：</w:t>
      </w:r>
      <w:r>
        <w:rPr>
          <w:rFonts w:hint="eastAsia"/>
          <w:color w:val="000000" w:themeColor="text1"/>
          <w:sz w:val="24"/>
        </w:rPr>
        <w:t>不分包采购</w:t>
      </w:r>
      <w:r>
        <w:rPr>
          <w:color w:val="000000" w:themeColor="text1"/>
          <w:sz w:val="24"/>
        </w:rPr>
        <w:tab/>
      </w:r>
    </w:p>
    <w:p w14:paraId="713574E7">
      <w:pPr>
        <w:widowControl/>
        <w:shd w:val="clear" w:color="auto" w:fill="FFFFFF"/>
        <w:spacing w:line="480" w:lineRule="auto"/>
        <w:ind w:firstLine="420"/>
        <w:rPr>
          <w:color w:val="000000" w:themeColor="text1"/>
          <w:sz w:val="24"/>
        </w:rPr>
      </w:pPr>
      <w:r>
        <w:rPr>
          <w:rFonts w:hint="eastAsia"/>
          <w:color w:val="000000" w:themeColor="text1"/>
          <w:sz w:val="24"/>
        </w:rPr>
        <w:t>包</w:t>
      </w:r>
      <w:r>
        <w:rPr>
          <w:color w:val="000000" w:themeColor="text1"/>
          <w:sz w:val="24"/>
        </w:rPr>
        <w:t>名称：</w:t>
      </w:r>
      <w:r>
        <w:rPr>
          <w:rFonts w:hint="eastAsia" w:ascii="宋体" w:hAnsi="宋体" w:eastAsia="宋体" w:cs="宋体"/>
          <w:color w:val="000000" w:themeColor="text1"/>
          <w:kern w:val="0"/>
          <w:sz w:val="24"/>
          <w:szCs w:val="24"/>
        </w:rPr>
        <w:t xml:space="preserve">西华大学第五、第六教学楼、行政楼、二办公区、行政楼旁原锦地苑浴室办公区物业管理服务政府采购项目 </w:t>
      </w:r>
      <w:r>
        <w:rPr>
          <w:rFonts w:hint="eastAsia"/>
          <w:color w:val="000000" w:themeColor="text1"/>
          <w:sz w:val="24"/>
        </w:rPr>
        <w:t>最高</w:t>
      </w:r>
      <w:r>
        <w:rPr>
          <w:color w:val="000000" w:themeColor="text1"/>
          <w:sz w:val="24"/>
        </w:rPr>
        <w:t>限价</w:t>
      </w:r>
      <w:r>
        <w:rPr>
          <w:rFonts w:hint="eastAsia"/>
          <w:color w:val="000000" w:themeColor="text1"/>
          <w:sz w:val="24"/>
        </w:rPr>
        <w:t>（元）</w:t>
      </w:r>
      <w:r>
        <w:rPr>
          <w:color w:val="000000" w:themeColor="text1"/>
          <w:sz w:val="24"/>
        </w:rPr>
        <w:t>：</w:t>
      </w:r>
      <w:r>
        <w:rPr>
          <w:rFonts w:hint="eastAsia" w:asciiTheme="minorEastAsia" w:hAnsiTheme="minorEastAsia"/>
          <w:color w:val="000000" w:themeColor="text1"/>
          <w:sz w:val="24"/>
        </w:rPr>
        <w:t>428</w:t>
      </w:r>
      <w:r>
        <w:rPr>
          <w:rFonts w:hint="eastAsia"/>
          <w:color w:val="000000" w:themeColor="text1"/>
          <w:sz w:val="24"/>
        </w:rPr>
        <w:t>万元</w:t>
      </w:r>
    </w:p>
    <w:p w14:paraId="4C8FFD45">
      <w:pPr>
        <w:widowControl/>
        <w:shd w:val="clear" w:color="auto" w:fill="FFFFFF"/>
        <w:spacing w:line="480" w:lineRule="auto"/>
        <w:ind w:firstLine="420"/>
        <w:rPr>
          <w:color w:val="000000" w:themeColor="text1"/>
          <w:sz w:val="24"/>
        </w:rPr>
      </w:pPr>
      <w:r>
        <w:rPr>
          <w:rFonts w:hint="eastAsia"/>
          <w:color w:val="000000" w:themeColor="text1"/>
          <w:sz w:val="24"/>
        </w:rPr>
        <w:t>定价方式：</w:t>
      </w:r>
      <w:r>
        <w:rPr>
          <w:rFonts w:hint="eastAsia" w:ascii="宋体" w:hAnsi="宋体" w:eastAsia="宋体" w:cs="宋体"/>
          <w:color w:val="000000" w:themeColor="text1"/>
          <w:kern w:val="0"/>
          <w:sz w:val="24"/>
          <w:szCs w:val="24"/>
        </w:rPr>
        <w:sym w:font="Wingdings" w:char="F0FE"/>
      </w:r>
      <w:r>
        <w:rPr>
          <w:rFonts w:hint="eastAsia"/>
          <w:color w:val="000000" w:themeColor="text1"/>
          <w:sz w:val="24"/>
        </w:rPr>
        <w:t xml:space="preserve">固定总价  </w:t>
      </w:r>
      <w:r>
        <w:rPr>
          <w:rFonts w:hint="eastAsia" w:ascii="宋体" w:hAnsi="宋体" w:eastAsia="宋体" w:cs="宋体"/>
          <w:color w:val="000000" w:themeColor="text1"/>
          <w:kern w:val="0"/>
          <w:sz w:val="24"/>
          <w:szCs w:val="24"/>
        </w:rPr>
        <w:t>□</w:t>
      </w:r>
      <w:r>
        <w:rPr>
          <w:rFonts w:hint="eastAsia"/>
          <w:color w:val="000000" w:themeColor="text1"/>
          <w:sz w:val="24"/>
        </w:rPr>
        <w:t xml:space="preserve">固定单价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其他（</w:t>
      </w:r>
      <w:r>
        <w:rPr>
          <w:color w:val="000000" w:themeColor="text1"/>
          <w:sz w:val="24"/>
        </w:rPr>
        <w:t>定价方式名称：</w:t>
      </w:r>
      <w:r>
        <w:rPr>
          <w:rFonts w:hint="eastAsia"/>
          <w:color w:val="000000" w:themeColor="text1"/>
          <w:sz w:val="24"/>
        </w:rPr>
        <w:t>）</w:t>
      </w:r>
    </w:p>
    <w:p w14:paraId="50990BAD">
      <w:pPr>
        <w:widowControl/>
        <w:shd w:val="clear" w:color="auto" w:fill="FFFFFF"/>
        <w:spacing w:line="480" w:lineRule="auto"/>
        <w:ind w:firstLine="420"/>
        <w:rPr>
          <w:color w:val="000000" w:themeColor="text1"/>
          <w:sz w:val="24"/>
        </w:rPr>
      </w:pPr>
      <w:r>
        <w:rPr>
          <w:rFonts w:hint="eastAsia"/>
          <w:color w:val="000000" w:themeColor="text1"/>
          <w:sz w:val="24"/>
        </w:rPr>
        <w:t>品目信息一</w:t>
      </w:r>
    </w:p>
    <w:p w14:paraId="23B89E35">
      <w:pPr>
        <w:widowControl/>
        <w:shd w:val="clear" w:color="auto" w:fill="FFFFFF"/>
        <w:spacing w:line="480" w:lineRule="auto"/>
        <w:ind w:firstLine="420"/>
        <w:rPr>
          <w:color w:val="000000" w:themeColor="text1"/>
          <w:sz w:val="24"/>
        </w:rPr>
      </w:pPr>
      <w:r>
        <w:rPr>
          <w:rFonts w:hint="eastAsia"/>
          <w:color w:val="000000" w:themeColor="text1"/>
          <w:sz w:val="24"/>
        </w:rPr>
        <w:t>标的名称：</w:t>
      </w:r>
      <w:r>
        <w:rPr>
          <w:rFonts w:hint="eastAsia" w:ascii="宋体" w:hAnsi="宋体" w:eastAsia="宋体" w:cs="宋体"/>
          <w:color w:val="000000" w:themeColor="text1"/>
          <w:kern w:val="0"/>
          <w:sz w:val="24"/>
          <w:szCs w:val="24"/>
        </w:rPr>
        <w:t xml:space="preserve">西华大学第五、第六教学楼、行政楼、二办公区、行政楼旁原锦地苑浴室办公区物业管理服务  </w:t>
      </w:r>
      <w:r>
        <w:rPr>
          <w:rFonts w:hint="eastAsia"/>
          <w:color w:val="000000" w:themeColor="text1"/>
          <w:sz w:val="24"/>
        </w:rPr>
        <w:t>计量单位</w:t>
      </w:r>
      <w:r>
        <w:rPr>
          <w:color w:val="000000" w:themeColor="text1"/>
          <w:sz w:val="24"/>
        </w:rPr>
        <w:t>：</w:t>
      </w:r>
      <w:r>
        <w:rPr>
          <w:rFonts w:hint="eastAsia"/>
          <w:color w:val="000000" w:themeColor="text1"/>
          <w:sz w:val="24"/>
        </w:rPr>
        <w:t>项</w:t>
      </w:r>
      <w:r>
        <w:rPr>
          <w:rFonts w:hint="eastAsia" w:ascii="宋体" w:hAnsi="宋体" w:eastAsia="宋体" w:cs="宋体"/>
          <w:color w:val="000000" w:themeColor="text1"/>
          <w:kern w:val="0"/>
          <w:sz w:val="24"/>
          <w:szCs w:val="24"/>
        </w:rPr>
        <w:t xml:space="preserve"> </w:t>
      </w:r>
      <w:r>
        <w:rPr>
          <w:rFonts w:hint="eastAsia"/>
          <w:color w:val="000000" w:themeColor="text1"/>
          <w:sz w:val="24"/>
        </w:rPr>
        <w:t>数量</w:t>
      </w:r>
      <w:r>
        <w:rPr>
          <w:color w:val="000000" w:themeColor="text1"/>
          <w:sz w:val="24"/>
        </w:rPr>
        <w:t>：</w:t>
      </w:r>
      <w:r>
        <w:rPr>
          <w:rFonts w:hint="eastAsia"/>
          <w:color w:val="000000" w:themeColor="text1"/>
          <w:sz w:val="24"/>
        </w:rPr>
        <w:t>1</w:t>
      </w:r>
    </w:p>
    <w:p w14:paraId="5433D29D">
      <w:pPr>
        <w:widowControl/>
        <w:shd w:val="clear" w:color="auto" w:fill="FFFFFF"/>
        <w:spacing w:line="480" w:lineRule="auto"/>
        <w:ind w:firstLine="420"/>
        <w:rPr>
          <w:color w:val="000000" w:themeColor="text1"/>
          <w:sz w:val="24"/>
        </w:rPr>
      </w:pPr>
      <w:r>
        <w:rPr>
          <w:rFonts w:hint="eastAsia"/>
          <w:color w:val="000000" w:themeColor="text1"/>
          <w:sz w:val="24"/>
        </w:rPr>
        <w:t>单价（元）</w:t>
      </w:r>
      <w:r>
        <w:rPr>
          <w:color w:val="000000" w:themeColor="text1"/>
          <w:sz w:val="24"/>
        </w:rPr>
        <w:t>：</w:t>
      </w:r>
      <w:r>
        <w:rPr>
          <w:rFonts w:hint="eastAsia" w:asciiTheme="minorEastAsia" w:hAnsiTheme="minorEastAsia"/>
          <w:color w:val="000000" w:themeColor="text1"/>
          <w:sz w:val="24"/>
        </w:rPr>
        <w:t>428</w:t>
      </w:r>
      <w:r>
        <w:rPr>
          <w:rFonts w:hint="eastAsia"/>
          <w:color w:val="000000" w:themeColor="text1"/>
          <w:sz w:val="24"/>
        </w:rPr>
        <w:t>万元</w:t>
      </w:r>
    </w:p>
    <w:p w14:paraId="346A5875">
      <w:pPr>
        <w:widowControl/>
        <w:shd w:val="clear" w:color="auto" w:fill="FFFFFF"/>
        <w:spacing w:line="480" w:lineRule="auto"/>
        <w:ind w:firstLine="420"/>
        <w:rPr>
          <w:color w:val="000000" w:themeColor="text1"/>
          <w:sz w:val="24"/>
        </w:rPr>
      </w:pPr>
      <w:r>
        <w:rPr>
          <w:rFonts w:hint="eastAsia"/>
          <w:color w:val="000000" w:themeColor="text1"/>
          <w:sz w:val="24"/>
        </w:rPr>
        <w:t>该品目预算(元)：</w:t>
      </w:r>
      <w:r>
        <w:rPr>
          <w:rFonts w:hint="eastAsia" w:asciiTheme="minorEastAsia" w:hAnsiTheme="minorEastAsia"/>
          <w:color w:val="000000" w:themeColor="text1"/>
          <w:sz w:val="24"/>
        </w:rPr>
        <w:t>428</w:t>
      </w:r>
      <w:r>
        <w:rPr>
          <w:rFonts w:hint="eastAsia"/>
          <w:color w:val="000000" w:themeColor="text1"/>
          <w:sz w:val="24"/>
        </w:rPr>
        <w:t>万元</w:t>
      </w:r>
    </w:p>
    <w:p w14:paraId="17D69E88">
      <w:pPr>
        <w:widowControl/>
        <w:shd w:val="clear" w:color="auto" w:fill="FFFFFF"/>
        <w:spacing w:line="480" w:lineRule="auto"/>
        <w:ind w:firstLine="420"/>
        <w:rPr>
          <w:color w:val="000000" w:themeColor="text1"/>
          <w:sz w:val="24"/>
        </w:rPr>
      </w:pPr>
      <w:r>
        <w:rPr>
          <w:rFonts w:hint="eastAsia"/>
          <w:color w:val="000000" w:themeColor="text1"/>
          <w:sz w:val="24"/>
        </w:rPr>
        <w:t>所属</w:t>
      </w:r>
      <w:r>
        <w:rPr>
          <w:color w:val="000000" w:themeColor="text1"/>
          <w:sz w:val="24"/>
        </w:rPr>
        <w:t>行业：</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农、林、牧、渔业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工业 </w:t>
      </w:r>
      <w:r>
        <w:rPr>
          <w:rFonts w:hint="eastAsia" w:ascii="宋体" w:hAnsi="宋体" w:eastAsia="宋体" w:cs="宋体"/>
          <w:color w:val="000000" w:themeColor="text1"/>
          <w:kern w:val="0"/>
          <w:sz w:val="24"/>
          <w:szCs w:val="24"/>
        </w:rPr>
        <w:t>□</w:t>
      </w:r>
      <w:r>
        <w:rPr>
          <w:rFonts w:hint="eastAsia"/>
          <w:color w:val="000000" w:themeColor="text1"/>
          <w:sz w:val="24"/>
        </w:rPr>
        <w:t xml:space="preserve">建筑业 </w:t>
      </w:r>
      <w:r>
        <w:rPr>
          <w:rFonts w:hint="eastAsia" w:ascii="宋体" w:hAnsi="宋体" w:eastAsia="宋体" w:cs="宋体"/>
          <w:color w:val="000000" w:themeColor="text1"/>
          <w:kern w:val="0"/>
          <w:sz w:val="24"/>
          <w:szCs w:val="24"/>
        </w:rPr>
        <w:t>□</w:t>
      </w:r>
      <w:r>
        <w:rPr>
          <w:rFonts w:hint="eastAsia"/>
          <w:color w:val="000000" w:themeColor="text1"/>
          <w:sz w:val="24"/>
        </w:rPr>
        <w:t xml:space="preserve">批发业 </w:t>
      </w:r>
      <w:r>
        <w:rPr>
          <w:rFonts w:hint="eastAsia" w:ascii="宋体" w:hAnsi="宋体" w:eastAsia="宋体" w:cs="宋体"/>
          <w:color w:val="000000" w:themeColor="text1"/>
          <w:kern w:val="0"/>
          <w:sz w:val="24"/>
          <w:szCs w:val="24"/>
        </w:rPr>
        <w:t>□</w:t>
      </w:r>
      <w:r>
        <w:rPr>
          <w:rFonts w:hint="eastAsia"/>
          <w:color w:val="000000" w:themeColor="text1"/>
          <w:sz w:val="24"/>
        </w:rPr>
        <w:t xml:space="preserve">零售业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交通运输业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仓储业 </w:t>
      </w:r>
      <w:r>
        <w:rPr>
          <w:rFonts w:hint="eastAsia" w:ascii="宋体" w:hAnsi="宋体" w:eastAsia="宋体" w:cs="宋体"/>
          <w:color w:val="000000" w:themeColor="text1"/>
          <w:kern w:val="0"/>
          <w:sz w:val="24"/>
          <w:szCs w:val="24"/>
        </w:rPr>
        <w:t>□</w:t>
      </w:r>
      <w:r>
        <w:rPr>
          <w:rFonts w:hint="eastAsia"/>
          <w:color w:val="000000" w:themeColor="text1"/>
          <w:sz w:val="24"/>
        </w:rPr>
        <w:t xml:space="preserve">邮政业 </w:t>
      </w:r>
      <w:r>
        <w:rPr>
          <w:rFonts w:hint="eastAsia" w:ascii="宋体" w:hAnsi="宋体" w:eastAsia="宋体" w:cs="宋体"/>
          <w:color w:val="000000" w:themeColor="text1"/>
          <w:kern w:val="0"/>
          <w:sz w:val="24"/>
          <w:szCs w:val="24"/>
        </w:rPr>
        <w:t>□</w:t>
      </w:r>
      <w:r>
        <w:rPr>
          <w:rFonts w:hint="eastAsia"/>
          <w:color w:val="000000" w:themeColor="text1"/>
          <w:sz w:val="24"/>
        </w:rPr>
        <w:t xml:space="preserve">住宿业 </w:t>
      </w:r>
      <w:r>
        <w:rPr>
          <w:rFonts w:hint="eastAsia" w:ascii="宋体" w:hAnsi="宋体" w:eastAsia="宋体" w:cs="宋体"/>
          <w:color w:val="000000" w:themeColor="text1"/>
          <w:kern w:val="0"/>
          <w:sz w:val="24"/>
          <w:szCs w:val="24"/>
        </w:rPr>
        <w:t>□</w:t>
      </w:r>
      <w:r>
        <w:rPr>
          <w:rFonts w:hint="eastAsia"/>
          <w:color w:val="000000" w:themeColor="text1"/>
          <w:sz w:val="24"/>
        </w:rPr>
        <w:t xml:space="preserve">餐饮业 </w:t>
      </w:r>
      <w:r>
        <w:rPr>
          <w:rFonts w:hint="eastAsia" w:ascii="宋体" w:hAnsi="宋体" w:eastAsia="宋体" w:cs="宋体"/>
          <w:color w:val="000000" w:themeColor="text1"/>
          <w:kern w:val="0"/>
          <w:sz w:val="24"/>
          <w:szCs w:val="24"/>
        </w:rPr>
        <w:t>□</w:t>
      </w:r>
      <w:r>
        <w:rPr>
          <w:rFonts w:hint="eastAsia"/>
          <w:color w:val="000000" w:themeColor="text1"/>
          <w:sz w:val="24"/>
        </w:rPr>
        <w:t xml:space="preserve">信息传输业 </w:t>
      </w:r>
      <w:r>
        <w:rPr>
          <w:rFonts w:hint="eastAsia" w:ascii="宋体" w:hAnsi="宋体" w:eastAsia="宋体" w:cs="宋体"/>
          <w:color w:val="000000" w:themeColor="text1"/>
          <w:kern w:val="0"/>
          <w:sz w:val="24"/>
          <w:szCs w:val="24"/>
        </w:rPr>
        <w:t>□</w:t>
      </w:r>
      <w:r>
        <w:rPr>
          <w:rFonts w:hint="eastAsia"/>
          <w:color w:val="000000" w:themeColor="text1"/>
          <w:sz w:val="24"/>
        </w:rPr>
        <w:t xml:space="preserve">软件和信息技术服务业 </w:t>
      </w:r>
      <w:r>
        <w:rPr>
          <w:rFonts w:hint="eastAsia" w:ascii="宋体" w:hAnsi="宋体" w:eastAsia="宋体" w:cs="宋体"/>
          <w:color w:val="000000" w:themeColor="text1"/>
          <w:kern w:val="0"/>
          <w:sz w:val="24"/>
          <w:szCs w:val="24"/>
        </w:rPr>
        <w:t>□</w:t>
      </w:r>
      <w:r>
        <w:rPr>
          <w:rFonts w:hint="eastAsia"/>
          <w:color w:val="000000" w:themeColor="text1"/>
          <w:sz w:val="24"/>
        </w:rPr>
        <w:t xml:space="preserve">房地产开发经营 </w:t>
      </w:r>
      <w:r>
        <w:rPr>
          <w:rFonts w:hint="eastAsia" w:ascii="宋体" w:hAnsi="宋体" w:eastAsia="宋体" w:cs="宋体"/>
          <w:color w:val="000000" w:themeColor="text1"/>
          <w:kern w:val="0"/>
          <w:sz w:val="24"/>
          <w:szCs w:val="24"/>
        </w:rPr>
        <w:sym w:font="Wingdings" w:char="F0FE"/>
      </w:r>
      <w:r>
        <w:rPr>
          <w:rFonts w:hint="eastAsia"/>
          <w:color w:val="000000" w:themeColor="text1"/>
          <w:sz w:val="24"/>
        </w:rPr>
        <w:t xml:space="preserve">物业管理 </w:t>
      </w:r>
      <w:r>
        <w:rPr>
          <w:rFonts w:hint="eastAsia" w:ascii="宋体" w:hAnsi="宋体" w:eastAsia="宋体" w:cs="宋体"/>
          <w:color w:val="000000" w:themeColor="text1"/>
          <w:kern w:val="0"/>
          <w:sz w:val="24"/>
          <w:szCs w:val="24"/>
        </w:rPr>
        <w:t>□</w:t>
      </w:r>
      <w:r>
        <w:rPr>
          <w:rFonts w:hint="eastAsia"/>
          <w:color w:val="000000" w:themeColor="text1"/>
          <w:sz w:val="24"/>
        </w:rPr>
        <w:t xml:space="preserve">租赁和商务服务业 </w:t>
      </w:r>
      <w:r>
        <w:rPr>
          <w:rFonts w:hint="eastAsia" w:ascii="宋体" w:hAnsi="宋体" w:eastAsia="宋体" w:cs="宋体"/>
          <w:color w:val="000000" w:themeColor="text1"/>
          <w:kern w:val="0"/>
          <w:sz w:val="24"/>
          <w:szCs w:val="24"/>
        </w:rPr>
        <w:t>□</w:t>
      </w:r>
      <w:r>
        <w:rPr>
          <w:rFonts w:hint="eastAsia"/>
          <w:color w:val="000000" w:themeColor="text1"/>
          <w:sz w:val="24"/>
        </w:rPr>
        <w:t>其他未列明行业</w:t>
      </w:r>
    </w:p>
    <w:p w14:paraId="029A6C27">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color w:val="000000" w:themeColor="text1"/>
          <w:sz w:val="24"/>
        </w:rPr>
        <w:t>节能</w:t>
      </w:r>
      <w:r>
        <w:rPr>
          <w:color w:val="000000" w:themeColor="text1"/>
          <w:sz w:val="24"/>
        </w:rPr>
        <w:t>：</w:t>
      </w:r>
      <w:r>
        <w:rPr>
          <w:rFonts w:hint="eastAsia" w:ascii="宋体" w:hAnsi="宋体" w:eastAsia="宋体" w:cs="宋体"/>
          <w:color w:val="000000" w:themeColor="text1"/>
          <w:kern w:val="0"/>
          <w:sz w:val="24"/>
          <w:szCs w:val="24"/>
        </w:rPr>
        <w:t xml:space="preserve">□是   </w:t>
      </w:r>
      <w:r>
        <w:rPr>
          <w:rFonts w:hint="eastAsia" w:ascii="宋体" w:hAnsi="宋体" w:eastAsia="宋体" w:cs="宋体"/>
          <w:color w:val="000000" w:themeColor="text1"/>
          <w:kern w:val="0"/>
          <w:sz w:val="24"/>
          <w:szCs w:val="24"/>
        </w:rPr>
        <w:sym w:font="Wingdings" w:char="00FE"/>
      </w:r>
      <w:r>
        <w:rPr>
          <w:rFonts w:hint="eastAsia" w:ascii="宋体" w:hAnsi="宋体" w:eastAsia="宋体" w:cs="宋体"/>
          <w:color w:val="000000" w:themeColor="text1"/>
          <w:kern w:val="0"/>
          <w:sz w:val="24"/>
          <w:szCs w:val="24"/>
        </w:rPr>
        <w:t xml:space="preserve">否  </w:t>
      </w:r>
      <w:r>
        <w:rPr>
          <w:rFonts w:hint="eastAsia"/>
          <w:color w:val="000000" w:themeColor="text1"/>
          <w:sz w:val="24"/>
        </w:rPr>
        <w:t>环保</w:t>
      </w:r>
      <w:r>
        <w:rPr>
          <w:color w:val="000000" w:themeColor="text1"/>
          <w:sz w:val="24"/>
        </w:rPr>
        <w:t>：</w:t>
      </w:r>
      <w:r>
        <w:rPr>
          <w:rFonts w:hint="eastAsia" w:ascii="宋体" w:hAnsi="宋体" w:eastAsia="宋体" w:cs="宋体"/>
          <w:color w:val="000000" w:themeColor="text1"/>
          <w:kern w:val="0"/>
          <w:sz w:val="24"/>
          <w:szCs w:val="24"/>
        </w:rPr>
        <w:t xml:space="preserve">□是   </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否</w:t>
      </w:r>
    </w:p>
    <w:p w14:paraId="4783050A">
      <w:pPr>
        <w:widowControl/>
        <w:shd w:val="clear" w:color="auto" w:fill="FFFFFF"/>
        <w:spacing w:line="480" w:lineRule="auto"/>
        <w:ind w:firstLine="420"/>
        <w:rPr>
          <w:color w:val="000000" w:themeColor="text1"/>
          <w:sz w:val="24"/>
        </w:rPr>
      </w:pPr>
      <w:r>
        <w:rPr>
          <w:rFonts w:hint="eastAsia" w:ascii="宋体" w:hAnsi="宋体" w:eastAsia="宋体" w:cs="宋体"/>
          <w:color w:val="000000" w:themeColor="text1"/>
          <w:kern w:val="0"/>
          <w:sz w:val="24"/>
          <w:szCs w:val="24"/>
        </w:rPr>
        <w:t>功能和质量要求 ：</w:t>
      </w:r>
      <w:r>
        <w:rPr>
          <w:color w:val="000000" w:themeColor="text1"/>
          <w:sz w:val="24"/>
        </w:rPr>
        <w:t xml:space="preserve"> </w:t>
      </w:r>
      <w:r>
        <w:rPr>
          <w:rFonts w:hint="eastAsia"/>
          <w:color w:val="000000" w:themeColor="text1"/>
          <w:sz w:val="24"/>
        </w:rPr>
        <w:t xml:space="preserve">    </w:t>
      </w:r>
    </w:p>
    <w:p w14:paraId="253F98FA">
      <w:pPr>
        <w:widowControl/>
        <w:shd w:val="clear" w:color="auto" w:fill="FFFFFF"/>
        <w:spacing w:line="480" w:lineRule="auto"/>
        <w:ind w:firstLine="480" w:firstLineChars="200"/>
        <w:rPr>
          <w:color w:val="000000" w:themeColor="text1"/>
          <w:sz w:val="24"/>
        </w:rPr>
      </w:pPr>
      <w:r>
        <w:rPr>
          <w:rFonts w:hint="eastAsia"/>
          <w:color w:val="000000" w:themeColor="text1"/>
          <w:sz w:val="24"/>
        </w:rPr>
        <w:t>为西华大学第五、第六教学楼、行政楼、二办公区、行政楼旁原锦地苑浴室办公区卫生提供安全秩序管理、卫生保洁、水电保障、绿化养护、维修等物业管理服务，及多媒体教室、会议室管理与客服接待服务、设施设备管理与维修、喷水池管理等服务，满足广大师生对美好物业管理服务的需求。</w:t>
      </w:r>
    </w:p>
    <w:p w14:paraId="0468D36C">
      <w:pPr>
        <w:widowControl/>
        <w:shd w:val="clear" w:color="auto" w:fill="FFFFFF"/>
        <w:spacing w:line="480" w:lineRule="auto"/>
        <w:ind w:firstLine="420"/>
        <w:rPr>
          <w:color w:val="000000" w:themeColor="text1"/>
          <w:sz w:val="24"/>
        </w:rPr>
      </w:pPr>
      <w:r>
        <w:rPr>
          <w:rFonts w:hint="eastAsia"/>
          <w:color w:val="000000" w:themeColor="text1"/>
          <w:sz w:val="24"/>
        </w:rPr>
        <w:t>注：如有</w:t>
      </w:r>
      <w:r>
        <w:rPr>
          <w:color w:val="000000" w:themeColor="text1"/>
          <w:sz w:val="24"/>
        </w:rPr>
        <w:t>多个</w:t>
      </w:r>
      <w:r>
        <w:rPr>
          <w:rFonts w:hint="eastAsia"/>
          <w:color w:val="000000" w:themeColor="text1"/>
          <w:sz w:val="24"/>
        </w:rPr>
        <w:t>标的，各</w:t>
      </w:r>
      <w:r>
        <w:rPr>
          <w:color w:val="000000" w:themeColor="text1"/>
          <w:sz w:val="24"/>
        </w:rPr>
        <w:t>标的品目</w:t>
      </w:r>
      <w:r>
        <w:rPr>
          <w:rFonts w:hint="eastAsia"/>
          <w:color w:val="000000" w:themeColor="text1"/>
          <w:sz w:val="24"/>
        </w:rPr>
        <w:t>预算相加</w:t>
      </w:r>
      <w:r>
        <w:rPr>
          <w:color w:val="000000" w:themeColor="text1"/>
          <w:sz w:val="24"/>
        </w:rPr>
        <w:t>应等于</w:t>
      </w:r>
      <w:r>
        <w:rPr>
          <w:rFonts w:hint="eastAsia"/>
          <w:color w:val="000000" w:themeColor="text1"/>
          <w:sz w:val="24"/>
        </w:rPr>
        <w:t>该</w:t>
      </w:r>
      <w:r>
        <w:rPr>
          <w:color w:val="000000" w:themeColor="text1"/>
          <w:sz w:val="24"/>
        </w:rPr>
        <w:t>包</w:t>
      </w:r>
      <w:r>
        <w:rPr>
          <w:rFonts w:hint="eastAsia"/>
          <w:color w:val="000000" w:themeColor="text1"/>
          <w:sz w:val="24"/>
        </w:rPr>
        <w:t>总预算（最高</w:t>
      </w:r>
      <w:r>
        <w:rPr>
          <w:color w:val="000000" w:themeColor="text1"/>
          <w:sz w:val="24"/>
        </w:rPr>
        <w:t>限价</w:t>
      </w:r>
      <w:r>
        <w:rPr>
          <w:rFonts w:hint="eastAsia"/>
          <w:color w:val="000000" w:themeColor="text1"/>
          <w:sz w:val="24"/>
        </w:rPr>
        <w:t>）。</w:t>
      </w:r>
    </w:p>
    <w:p w14:paraId="2EA32C17">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（五）执行政府采购促进中小企业发展的相关政策</w:t>
      </w:r>
    </w:p>
    <w:p w14:paraId="123B4A8F">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1. </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专门面向中小企业采购  </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不专门面向中小企业采购</w:t>
      </w:r>
    </w:p>
    <w:p w14:paraId="322795CB">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面向的企业规模：</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中小企业  □小微企业</w:t>
      </w:r>
    </w:p>
    <w:p w14:paraId="49E15769">
      <w:pPr>
        <w:widowControl/>
        <w:shd w:val="clear" w:color="auto" w:fill="FFFFFF"/>
        <w:spacing w:line="480" w:lineRule="auto"/>
        <w:ind w:left="315" w:leftChars="150"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预留形式：</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项目整体预留  □设置专门采购包  □以联合体形式参加  □要求合同分包</w:t>
      </w:r>
    </w:p>
    <w:p w14:paraId="4111867A">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预留比例：100%</w:t>
      </w:r>
    </w:p>
    <w:p w14:paraId="5F9BE845">
      <w:pPr>
        <w:widowControl/>
        <w:shd w:val="clear" w:color="auto" w:fill="FFFFFF"/>
        <w:spacing w:line="480" w:lineRule="auto"/>
        <w:ind w:firstLine="840" w:firstLineChars="3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不专门面向的原因：</w:t>
      </w:r>
    </w:p>
    <w:p w14:paraId="6B6FC2D0">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□法律法规和国家有关政策明确规定优先或者应当面向事业单位、社会组织等非企业主体采购的</w:t>
      </w:r>
    </w:p>
    <w:p w14:paraId="7590B74E">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□因确需使用不可替代的专利、专有技术，基础设施限制，或者提供特定公共服务等原因，只能从中小企业之外的供应商处采购的</w:t>
      </w:r>
    </w:p>
    <w:p w14:paraId="0EDA634B">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□按照本办法规定预留采购份额无法确保充分供应、充分竞争，或者存在可能影响政府采购目标实现的情形</w:t>
      </w:r>
    </w:p>
    <w:p w14:paraId="0C8736F0">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□框架协议采购项目</w:t>
      </w:r>
    </w:p>
    <w:p w14:paraId="087DA8A8">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□省级以上人民政府财政部门规定的其他情形</w:t>
      </w:r>
    </w:p>
    <w:p w14:paraId="0B4413AE">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i/>
          <w:iCs/>
          <w:color w:val="000000" w:themeColor="text1"/>
          <w:kern w:val="0"/>
          <w:sz w:val="24"/>
          <w:szCs w:val="24"/>
        </w:rPr>
        <w:t>注：监狱企业和残疾人福利单位视同小微企业。</w:t>
      </w:r>
    </w:p>
    <w:p w14:paraId="5175EA29">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（六）是否采购环境标识产品：是</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 xml:space="preserve"> 否</w:t>
      </w:r>
      <w:r>
        <w:rPr>
          <w:rFonts w:hint="eastAsia" w:ascii="宋体" w:hAnsi="宋体" w:eastAsia="宋体" w:cs="宋体"/>
          <w:color w:val="000000" w:themeColor="text1"/>
          <w:kern w:val="0"/>
          <w:sz w:val="24"/>
          <w:szCs w:val="24"/>
        </w:rPr>
        <w:sym w:font="Wingdings" w:char="F0FE"/>
      </w:r>
    </w:p>
    <w:p w14:paraId="5710E886">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（七）是否采购节能产品：是□  否</w:t>
      </w:r>
      <w:r>
        <w:rPr>
          <w:rFonts w:hint="eastAsia" w:ascii="宋体" w:hAnsi="宋体" w:eastAsia="宋体" w:cs="宋体"/>
          <w:color w:val="000000" w:themeColor="text1"/>
          <w:kern w:val="0"/>
          <w:sz w:val="24"/>
          <w:szCs w:val="24"/>
        </w:rPr>
        <w:sym w:font="Wingdings" w:char="F0FE"/>
      </w:r>
    </w:p>
    <w:p w14:paraId="239E90A7">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（八）项目的采购标的是否包含进口产品：是□ 否</w:t>
      </w:r>
      <w:r>
        <w:rPr>
          <w:rFonts w:hint="eastAsia" w:ascii="宋体" w:hAnsi="宋体" w:eastAsia="宋体" w:cs="宋体"/>
          <w:color w:val="000000" w:themeColor="text1"/>
          <w:kern w:val="0"/>
          <w:sz w:val="24"/>
          <w:szCs w:val="24"/>
        </w:rPr>
        <w:sym w:font="Wingdings" w:char="F0FE"/>
      </w:r>
    </w:p>
    <w:p w14:paraId="2C42F206">
      <w:pPr>
        <w:spacing w:line="36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（九）采购标的是否属于政府购买服务：是□（填以下信息） 否</w:t>
      </w:r>
      <w:r>
        <w:rPr>
          <w:rFonts w:hint="eastAsia" w:ascii="宋体" w:hAnsi="宋体" w:eastAsia="宋体" w:cs="宋体"/>
          <w:color w:val="000000" w:themeColor="text1"/>
          <w:kern w:val="0"/>
          <w:sz w:val="24"/>
          <w:szCs w:val="24"/>
        </w:rPr>
        <w:sym w:font="Wingdings" w:char="F0FE"/>
      </w:r>
    </w:p>
    <w:p w14:paraId="656538FC">
      <w:pPr>
        <w:spacing w:line="360" w:lineRule="auto"/>
        <w:ind w:firstLine="600" w:firstLineChars="2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政府购买服务的分类：□政府履职所需辅助性服务 □政府向社会公众提供的公共服务</w:t>
      </w:r>
    </w:p>
    <w:p w14:paraId="1EC95853">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（十）是否属于政务信息系统项目：是□ 否</w:t>
      </w:r>
      <w:r>
        <w:rPr>
          <w:rFonts w:hint="eastAsia" w:ascii="宋体" w:hAnsi="宋体" w:eastAsia="宋体" w:cs="宋体"/>
          <w:color w:val="000000" w:themeColor="text1"/>
          <w:kern w:val="0"/>
          <w:sz w:val="24"/>
          <w:szCs w:val="24"/>
        </w:rPr>
        <w:sym w:font="Wingdings" w:char="F0FE"/>
      </w:r>
    </w:p>
    <w:p w14:paraId="35B1E7E8">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（十一）是否属于高校、科研院所的科研仪器设备采购：是□ 否</w:t>
      </w:r>
      <w:r>
        <w:rPr>
          <w:rFonts w:hint="eastAsia" w:ascii="宋体" w:hAnsi="宋体" w:eastAsia="宋体" w:cs="宋体"/>
          <w:color w:val="000000" w:themeColor="text1"/>
          <w:kern w:val="0"/>
          <w:sz w:val="24"/>
          <w:szCs w:val="24"/>
        </w:rPr>
        <w:sym w:font="Wingdings" w:char="F0FE"/>
      </w:r>
    </w:p>
    <w:p w14:paraId="52B011E8">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（十二）是否属于PPP项目：是□ 否</w:t>
      </w:r>
      <w:r>
        <w:rPr>
          <w:rFonts w:hint="eastAsia" w:ascii="宋体" w:hAnsi="宋体" w:eastAsia="宋体" w:cs="宋体"/>
          <w:color w:val="000000" w:themeColor="text1"/>
          <w:kern w:val="0"/>
          <w:sz w:val="24"/>
          <w:szCs w:val="24"/>
        </w:rPr>
        <w:sym w:font="Wingdings" w:char="F0FE"/>
      </w:r>
    </w:p>
    <w:p w14:paraId="3BD26704">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四、项目需求及分包情况、采购标的</w:t>
      </w:r>
    </w:p>
    <w:p w14:paraId="745AE2C2">
      <w:pPr>
        <w:widowControl/>
        <w:shd w:val="clear" w:color="auto" w:fill="FFFFFF"/>
        <w:spacing w:line="480" w:lineRule="auto"/>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供应商一般资格要求</w:t>
      </w:r>
      <w:r>
        <w:rPr>
          <w:rFonts w:ascii="宋体" w:hAnsi="宋体" w:eastAsia="宋体" w:cs="宋体"/>
          <w:bCs/>
          <w:color w:val="000000" w:themeColor="text1"/>
          <w:kern w:val="0"/>
          <w:sz w:val="24"/>
          <w:szCs w:val="24"/>
        </w:rPr>
        <w:t>：</w:t>
      </w:r>
    </w:p>
    <w:tbl>
      <w:tblPr>
        <w:tblStyle w:val="11"/>
        <w:tblW w:w="10875" w:type="dxa"/>
        <w:jc w:val="center"/>
        <w:shd w:val="clear" w:color="auto" w:fill="FFFFFF"/>
        <w:tblLayout w:type="autofit"/>
        <w:tblCellMar>
          <w:top w:w="0" w:type="dxa"/>
          <w:left w:w="0" w:type="dxa"/>
          <w:bottom w:w="0" w:type="dxa"/>
          <w:right w:w="0" w:type="dxa"/>
        </w:tblCellMar>
      </w:tblPr>
      <w:tblGrid>
        <w:gridCol w:w="487"/>
        <w:gridCol w:w="4803"/>
        <w:gridCol w:w="5585"/>
      </w:tblGrid>
      <w:tr w14:paraId="2FEB253F">
        <w:tblPrEx>
          <w:shd w:val="clear" w:color="auto" w:fill="FFFFFF"/>
          <w:tblCellMar>
            <w:top w:w="0" w:type="dxa"/>
            <w:left w:w="0" w:type="dxa"/>
            <w:bottom w:w="0" w:type="dxa"/>
            <w:right w:w="0" w:type="dxa"/>
          </w:tblCellMar>
        </w:tblPrEx>
        <w:trPr>
          <w:trHeight w:val="480" w:hRule="atLeast"/>
          <w:jc w:val="center"/>
        </w:trPr>
        <w:tc>
          <w:tcPr>
            <w:tcW w:w="521"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3BCCDCE4">
            <w:pPr>
              <w:widowControl/>
              <w:spacing w:line="360" w:lineRule="atLeas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p>
        </w:tc>
        <w:tc>
          <w:tcPr>
            <w:tcW w:w="4816"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4A72D295">
            <w:pPr>
              <w:widowControl/>
              <w:spacing w:line="360" w:lineRule="atLeas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资格要求名称</w:t>
            </w:r>
          </w:p>
        </w:tc>
        <w:tc>
          <w:tcPr>
            <w:tcW w:w="5538"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14:paraId="1698B96E">
            <w:pPr>
              <w:widowControl/>
              <w:spacing w:line="360" w:lineRule="atLeas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资格要求详细说明</w:t>
            </w:r>
          </w:p>
        </w:tc>
      </w:tr>
      <w:tr w14:paraId="57F9AF00">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D3025FC">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BAE8977">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投标人应具有独立承担民事责任的能力</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65EB11E">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14:paraId="7F1F4A79">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1753D87">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9F2C36A">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FE470B5">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14:paraId="5C9B1432">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AF0CE39">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01EC54D">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未被列入失信被执行人、重大税收违法案件当事人名单、政府采购严重违法失信行为记录名单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C2CA3A9">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14:paraId="38426803">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74D8AF8">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79B8A47">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未处于被行政部门禁止参与政府采购活动的期限内</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AF9F4B0">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14:paraId="47BB1EBD">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3DF1585">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CF08069">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行贿犯罪记录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00DD885">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14:paraId="28A202FD">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3531BDC">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2E7E9CB">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单位负责人为同一人或者存在直接控股、管理关系的不同供应商，不得参加同一项目的投标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DA445E7">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14:paraId="27D8E38D">
        <w:tblPrEx>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F5143F7">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8A7386F">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投标文件签章</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E174844">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投标文件加盖有投标人（法定名称）电子签章。【说明：无须提供证明材料，上传空白页即可，不对本项上传的材料作资格审查】</w:t>
            </w:r>
          </w:p>
        </w:tc>
      </w:tr>
      <w:tr w14:paraId="763357FD">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1EDA19C">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931AFA8">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投标文件资格响应文件的语言</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BF1CDBF">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语言符合招标文件的要求。 【说明：投标人无须提供证明材料，上传空白页即可，不对本项上传的材料作资格审查】</w:t>
            </w:r>
          </w:p>
        </w:tc>
      </w:tr>
      <w:tr w14:paraId="739C6164">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C24576C">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256881D">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法律、行政法规规定的其他条件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311A392">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采购人对法律、行政法规规定的其他条件无其他特殊要求，投标人可不提供证明材料。 【说明：投标人无须提供证明材料，上传空白页即可，不对本项上传的材料作资格审查】</w:t>
            </w:r>
          </w:p>
        </w:tc>
      </w:tr>
      <w:tr w14:paraId="10B563F8">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54ECCCA">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7486287">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不属于国家相关法律法规规定的其他禁止参加投标的情形</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71ACF7F">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r w14:paraId="0FE6DAF9">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61E037B">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1351A12">
            <w:pPr>
              <w:widowControl/>
              <w:wordWrap w:val="0"/>
              <w:spacing w:line="360" w:lineRule="atLeast"/>
              <w:jc w:val="left"/>
              <w:rPr>
                <w:rFonts w:ascii="宋体" w:hAnsi="宋体" w:eastAsia="宋体" w:cs="宋体"/>
                <w:color w:val="000000" w:themeColor="text1"/>
                <w:kern w:val="0"/>
                <w:sz w:val="24"/>
                <w:szCs w:val="24"/>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68987A3">
            <w:pPr>
              <w:widowControl/>
              <w:wordWrap w:val="0"/>
              <w:spacing w:line="360" w:lineRule="atLeast"/>
              <w:jc w:val="left"/>
              <w:rPr>
                <w:rFonts w:ascii="宋体" w:hAnsi="宋体" w:eastAsia="宋体" w:cs="宋体"/>
                <w:color w:val="000000" w:themeColor="text1"/>
                <w:kern w:val="0"/>
                <w:sz w:val="24"/>
                <w:szCs w:val="24"/>
              </w:rPr>
            </w:pPr>
          </w:p>
        </w:tc>
      </w:tr>
    </w:tbl>
    <w:p w14:paraId="4E56DC45">
      <w:pPr>
        <w:widowControl/>
        <w:shd w:val="clear" w:color="auto" w:fill="FFFFFF"/>
        <w:spacing w:line="480" w:lineRule="auto"/>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供应商特殊资格要求（如有）：</w:t>
      </w:r>
    </w:p>
    <w:tbl>
      <w:tblPr>
        <w:tblStyle w:val="12"/>
        <w:tblW w:w="1033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371"/>
        <w:gridCol w:w="6237"/>
      </w:tblGrid>
      <w:tr w14:paraId="61D5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0" w:type="dxa"/>
          </w:tcPr>
          <w:p w14:paraId="798C2CD2">
            <w:pPr>
              <w:widowControl/>
              <w:spacing w:line="480" w:lineRule="auto"/>
              <w:outlineLvl w:val="4"/>
              <w:rPr>
                <w:rFonts w:ascii="宋体" w:hAnsi="宋体" w:eastAsia="宋体" w:cs="宋体"/>
                <w:bCs/>
                <w:color w:val="000000" w:themeColor="text1"/>
                <w:kern w:val="0"/>
                <w:sz w:val="24"/>
                <w:szCs w:val="24"/>
              </w:rPr>
            </w:pPr>
            <w:r>
              <w:rPr>
                <w:rFonts w:ascii="宋体" w:hAnsi="宋体" w:eastAsia="宋体" w:cs="宋体"/>
                <w:b/>
                <w:bCs/>
                <w:color w:val="000000" w:themeColor="text1"/>
                <w:kern w:val="0"/>
                <w:sz w:val="24"/>
                <w:szCs w:val="24"/>
              </w:rPr>
              <w:t>序号</w:t>
            </w:r>
          </w:p>
        </w:tc>
        <w:tc>
          <w:tcPr>
            <w:tcW w:w="3371" w:type="dxa"/>
          </w:tcPr>
          <w:p w14:paraId="751CFDB4">
            <w:pPr>
              <w:widowControl/>
              <w:spacing w:line="480" w:lineRule="auto"/>
              <w:jc w:val="center"/>
              <w:outlineLvl w:val="4"/>
              <w:rPr>
                <w:rFonts w:ascii="宋体" w:hAnsi="宋体" w:eastAsia="宋体" w:cs="宋体"/>
                <w:bCs/>
                <w:color w:val="000000" w:themeColor="text1"/>
                <w:kern w:val="0"/>
                <w:sz w:val="24"/>
                <w:szCs w:val="24"/>
              </w:rPr>
            </w:pPr>
            <w:r>
              <w:rPr>
                <w:rFonts w:ascii="宋体" w:hAnsi="宋体" w:eastAsia="宋体" w:cs="宋体"/>
                <w:b/>
                <w:bCs/>
                <w:color w:val="000000" w:themeColor="text1"/>
                <w:kern w:val="0"/>
                <w:sz w:val="24"/>
                <w:szCs w:val="24"/>
              </w:rPr>
              <w:t>资格要求名称</w:t>
            </w:r>
          </w:p>
        </w:tc>
        <w:tc>
          <w:tcPr>
            <w:tcW w:w="6237" w:type="dxa"/>
          </w:tcPr>
          <w:p w14:paraId="7B988677">
            <w:pPr>
              <w:widowControl/>
              <w:spacing w:line="480" w:lineRule="auto"/>
              <w:jc w:val="center"/>
              <w:outlineLvl w:val="4"/>
              <w:rPr>
                <w:rFonts w:ascii="宋体" w:hAnsi="宋体" w:eastAsia="宋体" w:cs="宋体"/>
                <w:bCs/>
                <w:color w:val="000000" w:themeColor="text1"/>
                <w:kern w:val="0"/>
                <w:sz w:val="24"/>
                <w:szCs w:val="24"/>
              </w:rPr>
            </w:pPr>
            <w:r>
              <w:rPr>
                <w:rFonts w:ascii="宋体" w:hAnsi="宋体" w:eastAsia="宋体" w:cs="宋体"/>
                <w:b/>
                <w:bCs/>
                <w:color w:val="000000" w:themeColor="text1"/>
                <w:kern w:val="0"/>
                <w:sz w:val="24"/>
                <w:szCs w:val="24"/>
              </w:rPr>
              <w:t>资格要求详细说明</w:t>
            </w:r>
          </w:p>
        </w:tc>
      </w:tr>
      <w:tr w14:paraId="1DC8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14:paraId="2705B4FD">
            <w:pPr>
              <w:widowControl/>
              <w:spacing w:line="480" w:lineRule="auto"/>
              <w:jc w:val="center"/>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w:t>
            </w:r>
          </w:p>
        </w:tc>
        <w:tc>
          <w:tcPr>
            <w:tcW w:w="3371" w:type="dxa"/>
            <w:vAlign w:val="center"/>
          </w:tcPr>
          <w:p w14:paraId="7EA88B31">
            <w:pPr>
              <w:widowControl/>
              <w:spacing w:line="360" w:lineRule="auto"/>
              <w:jc w:val="center"/>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同类业绩要求</w:t>
            </w:r>
          </w:p>
        </w:tc>
        <w:tc>
          <w:tcPr>
            <w:tcW w:w="6237" w:type="dxa"/>
            <w:vAlign w:val="center"/>
          </w:tcPr>
          <w:p w14:paraId="1BC596BC">
            <w:pPr>
              <w:widowControl/>
              <w:spacing w:line="360" w:lineRule="auto"/>
              <w:jc w:val="left"/>
              <w:outlineLvl w:val="4"/>
              <w:rPr>
                <w:rFonts w:ascii="宋体" w:hAnsi="宋体" w:cs="宋体"/>
                <w:bCs/>
                <w:color w:val="000000" w:themeColor="text1"/>
                <w:kern w:val="0"/>
                <w:sz w:val="24"/>
                <w:szCs w:val="24"/>
              </w:rPr>
            </w:pPr>
            <w:r>
              <w:rPr>
                <w:rFonts w:hint="eastAsia" w:ascii="宋体" w:hAnsi="宋体"/>
                <w:color w:val="000000" w:themeColor="text1"/>
                <w:sz w:val="24"/>
                <w:szCs w:val="24"/>
              </w:rPr>
              <w:t>投标人</w:t>
            </w:r>
            <w:r>
              <w:rPr>
                <w:rFonts w:hint="eastAsia"/>
                <w:color w:val="000000" w:themeColor="text1"/>
                <w:sz w:val="24"/>
                <w:szCs w:val="24"/>
              </w:rPr>
              <w:t>2019</w:t>
            </w:r>
            <w:r>
              <w:rPr>
                <w:rFonts w:hint="eastAsia" w:ascii="宋体" w:hAnsi="宋体"/>
                <w:color w:val="000000" w:themeColor="text1"/>
                <w:sz w:val="24"/>
                <w:szCs w:val="24"/>
              </w:rPr>
              <w:t>年</w:t>
            </w:r>
            <w:r>
              <w:rPr>
                <w:rFonts w:hint="eastAsia"/>
                <w:color w:val="000000" w:themeColor="text1"/>
                <w:sz w:val="24"/>
                <w:szCs w:val="24"/>
              </w:rPr>
              <w:t>1</w:t>
            </w:r>
            <w:r>
              <w:rPr>
                <w:rFonts w:hint="eastAsia" w:ascii="宋体" w:hAnsi="宋体"/>
                <w:color w:val="000000" w:themeColor="text1"/>
                <w:sz w:val="24"/>
                <w:szCs w:val="24"/>
              </w:rPr>
              <w:t>月</w:t>
            </w:r>
            <w:r>
              <w:rPr>
                <w:rFonts w:hint="eastAsia"/>
                <w:color w:val="000000" w:themeColor="text1"/>
                <w:sz w:val="24"/>
                <w:szCs w:val="24"/>
              </w:rPr>
              <w:t>1</w:t>
            </w:r>
            <w:r>
              <w:rPr>
                <w:rFonts w:hint="eastAsia" w:ascii="宋体" w:hAnsi="宋体"/>
                <w:color w:val="000000" w:themeColor="text1"/>
                <w:sz w:val="24"/>
                <w:szCs w:val="24"/>
              </w:rPr>
              <w:t>日</w:t>
            </w:r>
            <w:r>
              <w:rPr>
                <w:rFonts w:ascii="宋体" w:hAnsi="宋体"/>
                <w:color w:val="000000" w:themeColor="text1"/>
                <w:sz w:val="24"/>
                <w:szCs w:val="24"/>
              </w:rPr>
              <w:t>以来</w:t>
            </w:r>
            <w:r>
              <w:rPr>
                <w:rFonts w:hint="eastAsia" w:ascii="宋体" w:hAnsi="宋体"/>
                <w:color w:val="000000" w:themeColor="text1"/>
                <w:sz w:val="24"/>
                <w:szCs w:val="24"/>
              </w:rPr>
              <w:t>至少</w:t>
            </w:r>
            <w:r>
              <w:rPr>
                <w:rFonts w:ascii="宋体" w:hAnsi="宋体"/>
                <w:color w:val="000000" w:themeColor="text1"/>
                <w:sz w:val="24"/>
                <w:szCs w:val="24"/>
              </w:rPr>
              <w:t>具有</w:t>
            </w:r>
            <w:r>
              <w:rPr>
                <w:rFonts w:hint="eastAsia"/>
                <w:color w:val="000000" w:themeColor="text1"/>
                <w:sz w:val="24"/>
                <w:szCs w:val="24"/>
              </w:rPr>
              <w:t>2</w:t>
            </w:r>
            <w:r>
              <w:rPr>
                <w:rFonts w:hint="eastAsia" w:ascii="宋体" w:hAnsi="宋体"/>
                <w:color w:val="000000" w:themeColor="text1"/>
                <w:sz w:val="24"/>
                <w:szCs w:val="24"/>
              </w:rPr>
              <w:t>个非</w:t>
            </w:r>
            <w:r>
              <w:rPr>
                <w:rFonts w:ascii="宋体" w:hAnsi="宋体"/>
                <w:color w:val="000000" w:themeColor="text1"/>
                <w:sz w:val="24"/>
                <w:szCs w:val="24"/>
              </w:rPr>
              <w:t>住宅类物业管理业绩，</w:t>
            </w:r>
            <w:r>
              <w:rPr>
                <w:rFonts w:hint="eastAsia" w:ascii="宋体" w:hAnsi="宋体"/>
                <w:color w:val="000000" w:themeColor="text1"/>
                <w:sz w:val="24"/>
                <w:szCs w:val="24"/>
              </w:rPr>
              <w:t>同时</w:t>
            </w:r>
            <w:r>
              <w:rPr>
                <w:rFonts w:ascii="宋体" w:hAnsi="宋体"/>
                <w:color w:val="000000" w:themeColor="text1"/>
                <w:sz w:val="24"/>
                <w:szCs w:val="24"/>
              </w:rPr>
              <w:t>获得业主满意</w:t>
            </w:r>
            <w:r>
              <w:rPr>
                <w:rFonts w:hint="eastAsia" w:ascii="宋体" w:hAnsi="宋体"/>
                <w:color w:val="000000" w:themeColor="text1"/>
                <w:sz w:val="24"/>
                <w:szCs w:val="24"/>
              </w:rPr>
              <w:t>（好）</w:t>
            </w:r>
            <w:r>
              <w:rPr>
                <w:rFonts w:ascii="宋体" w:hAnsi="宋体"/>
                <w:color w:val="000000" w:themeColor="text1"/>
                <w:sz w:val="24"/>
                <w:szCs w:val="24"/>
              </w:rPr>
              <w:t>评价</w:t>
            </w:r>
            <w:r>
              <w:rPr>
                <w:rFonts w:hint="eastAsia" w:ascii="宋体" w:hAnsi="宋体"/>
                <w:color w:val="000000" w:themeColor="text1"/>
                <w:sz w:val="24"/>
                <w:szCs w:val="24"/>
              </w:rPr>
              <w:t>。</w:t>
            </w:r>
            <w:r>
              <w:rPr>
                <w:rFonts w:hint="eastAsia"/>
                <w:color w:val="000000" w:themeColor="text1"/>
                <w:sz w:val="24"/>
                <w:szCs w:val="24"/>
              </w:rPr>
              <w:t>（提供</w:t>
            </w:r>
            <w:r>
              <w:rPr>
                <w:rFonts w:hint="eastAsia"/>
                <w:color w:val="000000" w:themeColor="text1"/>
                <w:sz w:val="24"/>
                <w:szCs w:val="24"/>
                <w:lang w:eastAsia="zh-CN"/>
              </w:rPr>
              <w:t>完整的</w:t>
            </w:r>
            <w:r>
              <w:rPr>
                <w:rFonts w:hint="eastAsia"/>
                <w:color w:val="000000" w:themeColor="text1"/>
                <w:sz w:val="24"/>
                <w:szCs w:val="24"/>
              </w:rPr>
              <w:t>合同原件</w:t>
            </w:r>
            <w:r>
              <w:rPr>
                <w:rFonts w:hint="eastAsia"/>
                <w:color w:val="000000" w:themeColor="text1"/>
                <w:sz w:val="24"/>
                <w:szCs w:val="24"/>
                <w:lang w:eastAsia="zh-CN"/>
              </w:rPr>
              <w:t>或</w:t>
            </w:r>
            <w:r>
              <w:rPr>
                <w:rFonts w:hint="eastAsia"/>
                <w:color w:val="000000" w:themeColor="text1"/>
                <w:sz w:val="24"/>
                <w:szCs w:val="24"/>
              </w:rPr>
              <w:t>复印件等相关证明材料）</w:t>
            </w:r>
          </w:p>
        </w:tc>
      </w:tr>
    </w:tbl>
    <w:p w14:paraId="4ADF580A">
      <w:pPr>
        <w:widowControl/>
        <w:shd w:val="clear" w:color="auto" w:fill="FFFFFF"/>
        <w:spacing w:line="480" w:lineRule="auto"/>
        <w:outlineLvl w:val="4"/>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技术要求与标准：</w:t>
      </w:r>
    </w:p>
    <w:p w14:paraId="371DBFCB">
      <w:pPr>
        <w:spacing w:line="600" w:lineRule="exact"/>
        <w:jc w:val="left"/>
        <w:rPr>
          <w:rFonts w:ascii="宋体" w:hAnsi="宋体"/>
          <w:color w:val="000000" w:themeColor="text1"/>
          <w:sz w:val="24"/>
          <w:szCs w:val="24"/>
        </w:rPr>
      </w:pPr>
      <w:r>
        <w:rPr>
          <w:rFonts w:hint="eastAsia" w:ascii="宋体" w:hAnsi="宋体"/>
          <w:color w:val="000000" w:themeColor="text1"/>
          <w:sz w:val="24"/>
          <w:szCs w:val="24"/>
        </w:rPr>
        <w:t>1、本项目的核心产品为：无</w:t>
      </w:r>
    </w:p>
    <w:p w14:paraId="643ED9A6">
      <w:pPr>
        <w:spacing w:line="600" w:lineRule="exact"/>
        <w:jc w:val="left"/>
        <w:rPr>
          <w:rFonts w:ascii="宋体" w:hAnsi="宋体"/>
          <w:color w:val="000000" w:themeColor="text1"/>
          <w:sz w:val="24"/>
          <w:szCs w:val="24"/>
        </w:rPr>
      </w:pPr>
      <w:r>
        <w:rPr>
          <w:rFonts w:hint="eastAsia" w:ascii="宋体" w:hAnsi="宋体"/>
          <w:color w:val="000000" w:themeColor="text1"/>
          <w:sz w:val="24"/>
          <w:szCs w:val="24"/>
        </w:rPr>
        <w:t>2、本项目技术（服务）及商务需求：</w:t>
      </w:r>
    </w:p>
    <w:p w14:paraId="7C5D272B">
      <w:pPr>
        <w:spacing w:line="40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采购清单</w:t>
      </w:r>
      <w:r>
        <w:rPr>
          <w:rFonts w:hint="eastAsia" w:ascii="宋体" w:hAnsi="宋体"/>
          <w:color w:val="000000" w:themeColor="text1"/>
          <w:sz w:val="24"/>
          <w:szCs w:val="24"/>
        </w:rPr>
        <w:t>（见表1）</w:t>
      </w:r>
    </w:p>
    <w:tbl>
      <w:tblPr>
        <w:tblStyle w:val="11"/>
        <w:tblpPr w:leftFromText="180" w:rightFromText="180" w:vertAnchor="text" w:horzAnchor="page" w:tblpX="1099" w:tblpY="542"/>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812"/>
        <w:gridCol w:w="3017"/>
      </w:tblGrid>
      <w:tr w14:paraId="463D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1F52A2A8">
            <w:pPr>
              <w:jc w:val="center"/>
              <w:rPr>
                <w:rFonts w:ascii="宋体" w:hAnsi="宋体"/>
                <w:color w:val="000000" w:themeColor="text1"/>
              </w:rPr>
            </w:pPr>
            <w:r>
              <w:rPr>
                <w:rFonts w:hint="eastAsia" w:ascii="宋体" w:hAnsi="宋体"/>
                <w:color w:val="000000" w:themeColor="text1"/>
              </w:rPr>
              <w:t>服务区域</w:t>
            </w:r>
          </w:p>
        </w:tc>
        <w:tc>
          <w:tcPr>
            <w:tcW w:w="5812" w:type="dxa"/>
            <w:vAlign w:val="center"/>
          </w:tcPr>
          <w:p w14:paraId="02DA35E4">
            <w:pPr>
              <w:jc w:val="center"/>
              <w:rPr>
                <w:rFonts w:ascii="宋体" w:hAnsi="宋体"/>
                <w:color w:val="000000" w:themeColor="text1"/>
              </w:rPr>
            </w:pPr>
            <w:r>
              <w:rPr>
                <w:rFonts w:hint="eastAsia" w:ascii="宋体" w:hAnsi="宋体"/>
                <w:color w:val="000000" w:themeColor="text1"/>
              </w:rPr>
              <w:t>基本情况</w:t>
            </w:r>
          </w:p>
        </w:tc>
        <w:tc>
          <w:tcPr>
            <w:tcW w:w="3017" w:type="dxa"/>
            <w:vAlign w:val="center"/>
          </w:tcPr>
          <w:p w14:paraId="22372D2D">
            <w:pPr>
              <w:jc w:val="center"/>
              <w:rPr>
                <w:rFonts w:ascii="宋体" w:hAnsi="宋体"/>
                <w:color w:val="000000" w:themeColor="text1"/>
              </w:rPr>
            </w:pPr>
            <w:r>
              <w:rPr>
                <w:rFonts w:hint="eastAsia" w:ascii="宋体" w:hAnsi="宋体"/>
                <w:color w:val="000000" w:themeColor="text1"/>
              </w:rPr>
              <w:t>服务内容</w:t>
            </w:r>
          </w:p>
        </w:tc>
      </w:tr>
      <w:tr w14:paraId="7085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360332A5">
            <w:pPr>
              <w:ind w:firstLine="210" w:firstLineChars="100"/>
              <w:jc w:val="center"/>
              <w:rPr>
                <w:rFonts w:ascii="宋体" w:hAnsi="宋体"/>
                <w:color w:val="000000" w:themeColor="text1"/>
              </w:rPr>
            </w:pPr>
            <w:r>
              <w:rPr>
                <w:rFonts w:hint="eastAsia" w:ascii="宋体" w:hAnsi="宋体"/>
                <w:color w:val="000000" w:themeColor="text1"/>
              </w:rPr>
              <w:t>行政楼</w:t>
            </w:r>
          </w:p>
        </w:tc>
        <w:tc>
          <w:tcPr>
            <w:tcW w:w="5812" w:type="dxa"/>
          </w:tcPr>
          <w:p w14:paraId="75719465">
            <w:pPr>
              <w:rPr>
                <w:rFonts w:ascii="宋体" w:hAnsi="宋体"/>
                <w:b/>
                <w:color w:val="000000" w:themeColor="text1"/>
              </w:rPr>
            </w:pPr>
            <w:r>
              <w:rPr>
                <w:rFonts w:hint="eastAsia" w:ascii="宋体" w:hAnsi="宋体"/>
                <w:color w:val="000000" w:themeColor="text1"/>
              </w:rPr>
              <w:t>建筑高度19.23米。总建筑面积9320㎡。行政楼楼层办公室92间，会议室8间，五楼小会议室4个，电梯机房1间，电管井5间，监控室1间，卫生间10间、喷水池1个。</w:t>
            </w:r>
          </w:p>
        </w:tc>
        <w:tc>
          <w:tcPr>
            <w:tcW w:w="3017" w:type="dxa"/>
          </w:tcPr>
          <w:p w14:paraId="11AE4A6E">
            <w:pPr>
              <w:rPr>
                <w:rFonts w:ascii="宋体" w:hAnsi="宋体"/>
                <w:color w:val="000000" w:themeColor="text1"/>
              </w:rPr>
            </w:pPr>
            <w:r>
              <w:rPr>
                <w:rFonts w:hint="eastAsia" w:ascii="宋体" w:hAnsi="宋体"/>
                <w:color w:val="000000" w:themeColor="text1"/>
              </w:rPr>
              <w:t>环境卫生（除各部门办公室、会议室以外的所有公共区域、公共房间）、秩序管理、搬抬服务、客服接待服务、维修服务、公共设施设备管理及维修、行政楼绿植租摆服务、空调系统的监督管理、电梯系统的监督管理、喷水池管理等。</w:t>
            </w:r>
          </w:p>
        </w:tc>
      </w:tr>
      <w:tr w14:paraId="5380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7A78E42F">
            <w:pPr>
              <w:ind w:firstLine="210" w:firstLineChars="100"/>
              <w:jc w:val="center"/>
              <w:rPr>
                <w:rFonts w:ascii="宋体" w:hAnsi="宋体"/>
                <w:color w:val="000000" w:themeColor="text1"/>
              </w:rPr>
            </w:pPr>
            <w:r>
              <w:rPr>
                <w:rFonts w:hint="eastAsia" w:ascii="宋体" w:hAnsi="宋体"/>
                <w:color w:val="000000" w:themeColor="text1"/>
              </w:rPr>
              <w:t>二办公区</w:t>
            </w:r>
          </w:p>
        </w:tc>
        <w:tc>
          <w:tcPr>
            <w:tcW w:w="5812" w:type="dxa"/>
          </w:tcPr>
          <w:p w14:paraId="0C86328A">
            <w:pPr>
              <w:rPr>
                <w:rFonts w:ascii="宋体" w:hAnsi="宋体"/>
                <w:color w:val="000000" w:themeColor="text1"/>
              </w:rPr>
            </w:pPr>
            <w:r>
              <w:rPr>
                <w:rFonts w:hint="eastAsia" w:ascii="宋体" w:hAnsi="宋体"/>
                <w:color w:val="000000" w:themeColor="text1"/>
              </w:rPr>
              <w:t>第二办公区为三层框架建筑，总建筑面积1118㎡，楼前有小广场及道路（面积829㎡）。会议室3间，办公室27间，空调机房1个，电管井3间，厕所3间。</w:t>
            </w:r>
          </w:p>
        </w:tc>
        <w:tc>
          <w:tcPr>
            <w:tcW w:w="3017" w:type="dxa"/>
          </w:tcPr>
          <w:p w14:paraId="03FD198E">
            <w:pPr>
              <w:rPr>
                <w:rFonts w:ascii="宋体" w:hAnsi="宋体"/>
                <w:b/>
                <w:color w:val="000000" w:themeColor="text1"/>
              </w:rPr>
            </w:pPr>
            <w:r>
              <w:rPr>
                <w:rFonts w:hint="eastAsia" w:ascii="宋体" w:hAnsi="宋体"/>
                <w:color w:val="000000" w:themeColor="text1"/>
              </w:rPr>
              <w:t>环境卫生（除各部门办公室以外的所有公共区域）、秩序管理、维修服务、设施设备管理及维修等。</w:t>
            </w:r>
          </w:p>
        </w:tc>
      </w:tr>
      <w:tr w14:paraId="570C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14:paraId="2B0323B1">
            <w:pPr>
              <w:jc w:val="center"/>
              <w:rPr>
                <w:rFonts w:ascii="宋体" w:hAnsi="宋体"/>
                <w:color w:val="000000" w:themeColor="text1"/>
              </w:rPr>
            </w:pPr>
            <w:r>
              <w:rPr>
                <w:rFonts w:hint="eastAsia" w:ascii="宋体" w:hAnsi="宋体"/>
                <w:color w:val="000000" w:themeColor="text1"/>
              </w:rPr>
              <w:t>第五教学楼</w:t>
            </w:r>
          </w:p>
          <w:p w14:paraId="624CDF27">
            <w:pPr>
              <w:jc w:val="center"/>
              <w:rPr>
                <w:rFonts w:ascii="宋体" w:hAnsi="宋体"/>
                <w:color w:val="000000" w:themeColor="text1"/>
              </w:rPr>
            </w:pPr>
            <w:r>
              <w:rPr>
                <w:rFonts w:hint="eastAsia" w:ascii="宋体" w:hAnsi="宋体"/>
                <w:color w:val="000000" w:themeColor="text1"/>
              </w:rPr>
              <w:t>第六教学楼</w:t>
            </w:r>
          </w:p>
        </w:tc>
        <w:tc>
          <w:tcPr>
            <w:tcW w:w="5812" w:type="dxa"/>
            <w:vAlign w:val="center"/>
          </w:tcPr>
          <w:p w14:paraId="26C4E11E">
            <w:pPr>
              <w:ind w:firstLine="420" w:firstLineChars="200"/>
              <w:rPr>
                <w:rFonts w:ascii="宋体" w:hAnsi="宋体"/>
                <w:color w:val="000000" w:themeColor="text1"/>
              </w:rPr>
            </w:pPr>
            <w:r>
              <w:rPr>
                <w:rFonts w:hint="eastAsia" w:ascii="宋体" w:hAnsi="宋体"/>
                <w:color w:val="000000" w:themeColor="text1"/>
              </w:rPr>
              <w:t>(1)第五教学楼分为A、B、C、D区，五层楼框架建筑，建筑高度22.2米，总建筑面积4.33万㎡。A、D办公区办公室共计180间，B、C区教室66间（多媒体教室60间），活动教室1间，教员休息室4间。第五教学楼有总配电房1间，消控室1间，风机房1个，竖井17个；有出入口24个（一楼进出口门厅安装有实时全方位监控系统）。上下楼通道17个（含电梯2部），厕所74间。</w:t>
            </w:r>
          </w:p>
          <w:p w14:paraId="414F0B04">
            <w:pPr>
              <w:ind w:firstLine="420" w:firstLineChars="200"/>
              <w:rPr>
                <w:rFonts w:ascii="宋体" w:hAnsi="宋体"/>
                <w:color w:val="000000" w:themeColor="text1"/>
              </w:rPr>
            </w:pPr>
            <w:r>
              <w:rPr>
                <w:rFonts w:hint="eastAsia" w:ascii="宋体" w:hAnsi="宋体"/>
                <w:color w:val="000000" w:themeColor="text1"/>
              </w:rPr>
              <w:t>(2)第六教学楼分为A、B、C、D区，五层楼框架建筑，建筑高度22.2米，总建筑面积：6.27万㎡。A、D办公区办公室共计224间，B、C区教室127间（其中多媒体教室121间），活动教室9间，教员休息室4间。第六教学楼有总配电房1间，风机房7个，竖井22个；有出入口21个（进出口门厅安装有实时全方位监控系统）。安装有自动消</w:t>
            </w:r>
            <w:r>
              <w:rPr>
                <w:rFonts w:hint="eastAsia" w:ascii="宋体" w:hAnsi="宋体"/>
                <w:color w:val="000000" w:themeColor="text1"/>
                <w:lang w:val="en-US" w:eastAsia="zh-CN"/>
              </w:rPr>
              <w:t>火</w:t>
            </w:r>
            <w:r>
              <w:rPr>
                <w:rFonts w:hint="eastAsia" w:ascii="宋体" w:hAnsi="宋体"/>
                <w:color w:val="000000" w:themeColor="text1"/>
              </w:rPr>
              <w:t>报警系统。上下楼通道24个（含电梯2部），厕所72间。</w:t>
            </w:r>
          </w:p>
          <w:p w14:paraId="376B3ACD">
            <w:pPr>
              <w:ind w:firstLine="420" w:firstLineChars="200"/>
              <w:rPr>
                <w:rFonts w:ascii="宋体" w:hAnsi="宋体"/>
                <w:color w:val="000000" w:themeColor="text1"/>
              </w:rPr>
            </w:pPr>
            <w:r>
              <w:rPr>
                <w:rFonts w:hint="eastAsia" w:ascii="宋体" w:hAnsi="宋体"/>
                <w:color w:val="000000" w:themeColor="text1"/>
              </w:rPr>
              <w:t>(3)五、六教内亭绿化面积：2万㎡。</w:t>
            </w:r>
          </w:p>
        </w:tc>
        <w:tc>
          <w:tcPr>
            <w:tcW w:w="3017" w:type="dxa"/>
          </w:tcPr>
          <w:p w14:paraId="171F5EB9">
            <w:pPr>
              <w:rPr>
                <w:rFonts w:ascii="宋体" w:hAnsi="宋体"/>
                <w:color w:val="000000" w:themeColor="text1"/>
              </w:rPr>
            </w:pPr>
            <w:r>
              <w:rPr>
                <w:rFonts w:hint="eastAsia" w:ascii="宋体" w:hAnsi="宋体"/>
                <w:color w:val="000000" w:themeColor="text1"/>
              </w:rPr>
              <w:t>环境卫生（除各部门办公室、会议室、实验室以外的所有公共区域、公共房间、设备房）、秩序管理、客服接待、多媒体教室管理服务、维修服务、设施设备管理、第五、第六教学楼内庭绿化养护服务等。</w:t>
            </w:r>
          </w:p>
        </w:tc>
      </w:tr>
      <w:tr w14:paraId="5583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44" w:type="dxa"/>
            <w:vAlign w:val="center"/>
          </w:tcPr>
          <w:p w14:paraId="3DA80476">
            <w:pPr>
              <w:jc w:val="center"/>
              <w:rPr>
                <w:rFonts w:ascii="宋体" w:hAnsi="宋体"/>
                <w:color w:val="000000" w:themeColor="text1"/>
              </w:rPr>
            </w:pPr>
            <w:r>
              <w:rPr>
                <w:rFonts w:hint="eastAsia" w:ascii="宋体" w:hAnsi="宋体"/>
                <w:color w:val="000000" w:themeColor="text1"/>
              </w:rPr>
              <w:t>行政楼旁原锦地苑浴室办公区</w:t>
            </w:r>
          </w:p>
        </w:tc>
        <w:tc>
          <w:tcPr>
            <w:tcW w:w="5812" w:type="dxa"/>
            <w:vAlign w:val="center"/>
          </w:tcPr>
          <w:p w14:paraId="1846688A">
            <w:pPr>
              <w:ind w:firstLine="420" w:firstLineChars="200"/>
              <w:rPr>
                <w:rFonts w:ascii="宋体" w:hAnsi="宋体"/>
                <w:color w:val="000000" w:themeColor="text1"/>
              </w:rPr>
            </w:pPr>
            <w:r>
              <w:rPr>
                <w:rFonts w:hint="eastAsia" w:ascii="宋体" w:hAnsi="宋体"/>
                <w:color w:val="000000" w:themeColor="text1"/>
              </w:rPr>
              <w:t>建筑面积463㎡,会议室及谈话室4间，外围地面面积600㎡</w:t>
            </w:r>
          </w:p>
        </w:tc>
        <w:tc>
          <w:tcPr>
            <w:tcW w:w="3017" w:type="dxa"/>
          </w:tcPr>
          <w:p w14:paraId="271D2A9D">
            <w:pPr>
              <w:rPr>
                <w:rFonts w:ascii="宋体" w:hAnsi="宋体"/>
                <w:color w:val="000000" w:themeColor="text1"/>
              </w:rPr>
            </w:pPr>
            <w:r>
              <w:rPr>
                <w:rFonts w:hint="eastAsia" w:ascii="宋体" w:hAnsi="宋体"/>
                <w:color w:val="000000" w:themeColor="text1"/>
              </w:rPr>
              <w:t>公共区域、会议室、公共通道环境卫生服务、秩序服务、维修服务、设施设备管理。</w:t>
            </w:r>
          </w:p>
        </w:tc>
      </w:tr>
    </w:tbl>
    <w:p w14:paraId="72376CB0">
      <w:pPr>
        <w:spacing w:line="60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3、技术（服务）及需求（加注“</w:t>
      </w:r>
      <w:r>
        <w:rPr>
          <w:rFonts w:hint="eastAsia" w:ascii="微软雅黑" w:hAnsi="微软雅黑" w:eastAsia="微软雅黑"/>
          <w:color w:val="000000" w:themeColor="text1"/>
          <w:sz w:val="32"/>
          <w:szCs w:val="32"/>
        </w:rPr>
        <w:t>★</w:t>
      </w:r>
      <w:r>
        <w:rPr>
          <w:rFonts w:hint="eastAsia" w:ascii="宋体" w:hAnsi="宋体"/>
          <w:b/>
          <w:color w:val="000000" w:themeColor="text1"/>
          <w:sz w:val="24"/>
          <w:szCs w:val="24"/>
        </w:rPr>
        <w:t>”为实质性条款）</w:t>
      </w:r>
    </w:p>
    <w:p w14:paraId="70D65A4B">
      <w:pPr>
        <w:spacing w:line="460" w:lineRule="exact"/>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3</w:t>
      </w:r>
      <w:r>
        <w:rPr>
          <w:rFonts w:hint="eastAsia" w:asciiTheme="minorEastAsia" w:hAnsiTheme="minorEastAsia"/>
          <w:color w:val="000000" w:themeColor="text1"/>
          <w:sz w:val="24"/>
          <w:szCs w:val="24"/>
        </w:rPr>
        <w:t>.</w:t>
      </w:r>
      <w:r>
        <w:rPr>
          <w:rFonts w:asciiTheme="minorEastAsia" w:hAnsiTheme="minorEastAsia"/>
          <w:color w:val="000000" w:themeColor="text1"/>
          <w:sz w:val="24"/>
          <w:szCs w:val="24"/>
        </w:rPr>
        <w:t>1</w:t>
      </w:r>
      <w:r>
        <w:rPr>
          <w:rFonts w:hint="eastAsia" w:asciiTheme="minorEastAsia" w:hAnsiTheme="minorEastAsia"/>
          <w:color w:val="000000" w:themeColor="text1"/>
          <w:sz w:val="24"/>
          <w:szCs w:val="24"/>
        </w:rPr>
        <w:t>总体要求</w:t>
      </w:r>
    </w:p>
    <w:p w14:paraId="5406BD3A">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（1）投标人在学校物业管理服务过程中，应当以“诚信服务”为宗旨，贯彻“全员育人、全程育人、全方位育人”育人理念，积极配合学校各项工作开展。</w:t>
      </w:r>
    </w:p>
    <w:p w14:paraId="0F7E8D1F">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（2）投标人应接受业主单位的统一管理，自身具备完善的管理体系、管理制度、管理规程及考核办法，为西华大学开展的各项工作、活动提供优质服务。</w:t>
      </w:r>
    </w:p>
    <w:p w14:paraId="153B1447">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投标人应按照西华大学划定的工作范围、工作内容及管理目标成立项目物业服务机构，制定符合项目实际情况的工作流程、工作标准、工作制度及监督考核办法，合理安排人员，科学管理，严格要求，达标运行。同时接受学校分管领导、职能部门的监督、检查、指导、考核，发现问题及时沟通、整改。</w:t>
      </w:r>
    </w:p>
    <w:p w14:paraId="64CD862D">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按照“新安法”和西华大学对安全生产管理要求，投标人应建立本项目的物业安全生产管理体系，建立健全全员安全生产责任制和安全生产规章制度，加强从业人员安全生产教育和培训，加强安全生产管理，防止和减少生产安全事故，保障全校师生生命和财产安全。</w:t>
      </w:r>
    </w:p>
    <w:p w14:paraId="2240AE21">
      <w:pPr>
        <w:spacing w:line="460" w:lineRule="exact"/>
        <w:ind w:firstLine="480" w:firstLineChars="200"/>
        <w:rPr>
          <w:rFonts w:ascii="宋体" w:hAnsi="宋体"/>
          <w:color w:val="000000" w:themeColor="text1"/>
          <w:szCs w:val="21"/>
        </w:rPr>
      </w:pPr>
      <w:r>
        <w:rPr>
          <w:rFonts w:hint="eastAsia" w:ascii="宋体" w:hAnsi="宋体"/>
          <w:color w:val="000000" w:themeColor="text1"/>
          <w:sz w:val="24"/>
          <w:szCs w:val="24"/>
        </w:rPr>
        <w:t>(</w:t>
      </w:r>
      <w:r>
        <w:rPr>
          <w:rFonts w:ascii="宋体" w:hAnsi="宋体"/>
          <w:color w:val="000000" w:themeColor="text1"/>
          <w:sz w:val="24"/>
          <w:szCs w:val="24"/>
        </w:rPr>
        <w:t>5</w:t>
      </w:r>
      <w:r>
        <w:rPr>
          <w:rFonts w:hint="eastAsia" w:ascii="宋体" w:hAnsi="宋体"/>
          <w:color w:val="000000" w:themeColor="text1"/>
          <w:sz w:val="24"/>
          <w:szCs w:val="24"/>
        </w:rPr>
        <w:t>)西华大学为人员密集的教育场所，一旦出现紧急、危险情况，容易引起人员伤害和财产损失。投标人应提供切实有效且符合项目实际情况的应急处置预案（包括不限于各类常见紧急情况（地震、暴雨或灾害性天气、突发公共卫生事件、学生打架斗殴、学生意外伤害等）、各类设施设备异常及故障（给排水系统故障、供配电系统故障、电梯系统故障等）、防洪防汛、电梯困人、消防应急预案、新冠疫情防控等）并高度配合业主单位做好学校突发事件应急处置及师生意外伤害救护工作。</w:t>
      </w:r>
    </w:p>
    <w:p w14:paraId="6B5A9DC9">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（6）投标人物业服务人员应熟悉并掌握职责管辖范围内人员、物品、设施等情况，以及相应的服务标准、工作流程、操作规范、注意事项、应急处理措施等。</w:t>
      </w:r>
    </w:p>
    <w:p w14:paraId="04EA9592">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投标人应具有完善的管理体系、专业的物业服务技能人才及良好的人力资源储备及招聘渠道，具有良好的物业服务人员派遣能力，并建立合法的劳资关系，同时具有人员稳定的措施，能充分保障物业服务现场用人所需。</w:t>
      </w:r>
    </w:p>
    <w:p w14:paraId="448C392D">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（8）投标人物业服务人员应接受过相关岗位的培训，掌握物业管理相关的法律、法规和政策，熟悉本物业的基本情况和特点，能正确使用和维护相关设施、设备。</w:t>
      </w:r>
    </w:p>
    <w:p w14:paraId="29866F88">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投标人应配合采购人做好本项目节能减排工作，在物业管理工作中，完善节能管理制度，做好能源管理，厉行节约用水、用电、用气，加强相关设施设备的维护和巡查，做好能耗分析，积极向采购人提供节能措施及建议，消除不必要的能源消耗，在设施设备管理与维修服务方案中提供节能管理方案，根据采购人需求和工作目标参与“节约型公共机构”的建设工作。</w:t>
      </w:r>
    </w:p>
    <w:p w14:paraId="3E0F43BC">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10</w:t>
      </w:r>
      <w:r>
        <w:rPr>
          <w:rFonts w:hint="eastAsia" w:ascii="宋体" w:hAnsi="宋体"/>
          <w:color w:val="000000" w:themeColor="text1"/>
          <w:sz w:val="24"/>
          <w:szCs w:val="24"/>
        </w:rPr>
        <w:t>）中标供应商在做好日常物业服务工作的同时，有责任向采购人提供合理化建议，以提高管理效率和管理质量。</w:t>
      </w:r>
    </w:p>
    <w:p w14:paraId="3194EB8D">
      <w:pPr>
        <w:spacing w:line="460" w:lineRule="exact"/>
        <w:ind w:firstLine="480" w:firstLineChars="200"/>
        <w:rPr>
          <w:color w:val="000000" w:themeColor="text1"/>
        </w:rPr>
      </w:pPr>
      <w:r>
        <w:rPr>
          <w:rFonts w:hint="eastAsia" w:ascii="宋体" w:hAnsi="宋体"/>
          <w:color w:val="000000" w:themeColor="text1"/>
          <w:sz w:val="24"/>
          <w:szCs w:val="24"/>
        </w:rPr>
        <w:t>（</w:t>
      </w:r>
      <w:r>
        <w:rPr>
          <w:rFonts w:ascii="宋体" w:hAnsi="宋体"/>
          <w:color w:val="000000" w:themeColor="text1"/>
          <w:sz w:val="24"/>
          <w:szCs w:val="24"/>
        </w:rPr>
        <w:t>11</w:t>
      </w:r>
      <w:r>
        <w:rPr>
          <w:rFonts w:hint="eastAsia" w:ascii="宋体" w:hAnsi="宋体"/>
          <w:color w:val="000000" w:themeColor="text1"/>
          <w:sz w:val="24"/>
          <w:szCs w:val="24"/>
        </w:rPr>
        <w:t>）投标人为本项目提供的所有服务符合现行的强制性国家相关标准、行业标准。</w:t>
      </w:r>
    </w:p>
    <w:p w14:paraId="558186F2">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 xml:space="preserve"> 环境保洁服务</w:t>
      </w:r>
    </w:p>
    <w:p w14:paraId="315E406C">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.1 服务内容</w:t>
      </w:r>
    </w:p>
    <w:p w14:paraId="0F476021">
      <w:pPr>
        <w:spacing w:line="460" w:lineRule="exact"/>
        <w:ind w:firstLine="480" w:firstLineChars="200"/>
        <w:rPr>
          <w:rFonts w:ascii="宋体" w:hAnsi="宋体"/>
          <w:bCs/>
          <w:color w:val="000000" w:themeColor="text1"/>
          <w:sz w:val="24"/>
          <w:szCs w:val="24"/>
        </w:rPr>
      </w:pPr>
      <w:r>
        <w:rPr>
          <w:rFonts w:hint="eastAsia" w:ascii="宋体" w:hAnsi="宋体"/>
          <w:bCs/>
          <w:color w:val="000000" w:themeColor="text1"/>
          <w:sz w:val="24"/>
          <w:szCs w:val="24"/>
        </w:rPr>
        <w:t>（1）对行政楼、二办公区、行政楼旁原锦地苑浴室办公区过道、大厅、楼梯、会议室、指定办公室、天台、平台、电梯间、卫生间、二办公区停车场、喷水池、公共设施等区域的卫生清洁服务及垃圾清理工作。</w:t>
      </w:r>
    </w:p>
    <w:p w14:paraId="121D8268">
      <w:pPr>
        <w:spacing w:line="460" w:lineRule="exact"/>
        <w:ind w:firstLine="480" w:firstLineChars="200"/>
        <w:rPr>
          <w:rFonts w:ascii="宋体" w:hAnsi="宋体"/>
          <w:bCs/>
          <w:color w:val="000000" w:themeColor="text1"/>
          <w:sz w:val="24"/>
          <w:szCs w:val="24"/>
        </w:rPr>
      </w:pPr>
      <w:r>
        <w:rPr>
          <w:rFonts w:hint="eastAsia" w:ascii="宋体" w:hAnsi="宋体"/>
          <w:bCs/>
          <w:color w:val="000000" w:themeColor="text1"/>
          <w:sz w:val="24"/>
          <w:szCs w:val="24"/>
        </w:rPr>
        <w:t>（2）对第五、第六教学楼公共过道、大厅、楼梯、卫生间所有公共房间（除各单位办公室、会议室、实验室）及教室、公共设施等区域的卫生清洁服务及垃圾清理工作。</w:t>
      </w:r>
    </w:p>
    <w:p w14:paraId="46DBD00E">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.2 服务要求</w:t>
      </w:r>
    </w:p>
    <w:p w14:paraId="4536DF16">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（1）上岗人员必须仪容端庄、仪表整洁、礼貌服务。</w:t>
      </w:r>
    </w:p>
    <w:p w14:paraId="3A997372">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（2）设立完备的清洁岗位，在规定时间内，始终保持有岗、有人、有服务。</w:t>
      </w:r>
    </w:p>
    <w:p w14:paraId="3FDD97F2">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（3）定岗、定人、定时进行楼道、厕所、教室、会议室、公共区域的清洁服务工作，服务规范，程序完善。</w:t>
      </w:r>
    </w:p>
    <w:p w14:paraId="2B9A8CCC">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（4）建立消杀工作管理制度，根据卫生部门要求及实际情况定期开展消杀工作，有效控制害虫（含白蚁等）孳生，定期对各类病虫害进行预防控制，做好记录。</w:t>
      </w:r>
    </w:p>
    <w:p w14:paraId="359C9816">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（5）做好常态化防控工作，特别是秩序、环境卫生、公区消毒、员工排查等。</w:t>
      </w:r>
      <w:bookmarkStart w:id="0" w:name="_Hlk101761322"/>
    </w:p>
    <w:p w14:paraId="70D93630">
      <w:pPr>
        <w:spacing w:line="4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（6）投标人应制定公共区域保洁服务标准、工作流程、操作规范、注意事项、应急处理措施等。</w:t>
      </w:r>
    </w:p>
    <w:p w14:paraId="020E7ED1">
      <w:pPr>
        <w:spacing w:line="4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（7）投标人应制定校内垃圾收集转运标准、工作流程、操作规范、注意事项、应急处理措施等。</w:t>
      </w:r>
    </w:p>
    <w:p w14:paraId="082F0BF1">
      <w:pPr>
        <w:spacing w:line="4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（8）投标人提供的公共区域保洁服务不应影响正常教学、科研、办公活动及课间休息。</w:t>
      </w:r>
    </w:p>
    <w:p w14:paraId="13BDFF0D">
      <w:pPr>
        <w:spacing w:line="460" w:lineRule="exact"/>
        <w:ind w:firstLine="480" w:firstLineChars="200"/>
        <w:rPr>
          <w:color w:val="000000" w:themeColor="text1"/>
        </w:rPr>
      </w:pPr>
      <w:r>
        <w:rPr>
          <w:rFonts w:hint="eastAsia" w:asciiTheme="minorEastAsia" w:hAnsiTheme="minorEastAsia"/>
          <w:color w:val="000000" w:themeColor="text1"/>
          <w:sz w:val="24"/>
          <w:szCs w:val="24"/>
        </w:rPr>
        <w:t>（9）投标人应按照环境保洁服务内容、服务要求、服务标准开展本项目环境保洁服务工作，提供环境保洁服务方案，方案应包含不限于人员配置及职责、管理制度、考核办法、过道/走廊/电梯清洁服务方案、室外公共区域保洁服务方案、垃圾收集转运方案、消杀方案及会议室/厕所/教室清洁服务方案等。</w:t>
      </w:r>
    </w:p>
    <w:bookmarkEnd w:id="0"/>
    <w:p w14:paraId="4C928815">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.3 服务区域及标准</w:t>
      </w:r>
    </w:p>
    <w:p w14:paraId="7335F336">
      <w:pPr>
        <w:spacing w:line="360" w:lineRule="auto"/>
        <w:ind w:firstLine="240" w:firstLineChars="100"/>
        <w:rPr>
          <w:rFonts w:ascii="宋体" w:hAnsi="宋体"/>
          <w:color w:val="000000" w:themeColor="text1"/>
          <w:sz w:val="24"/>
        </w:rPr>
      </w:pPr>
      <w:r>
        <w:rPr>
          <w:rFonts w:hint="eastAsia" w:ascii="宋体" w:hAnsi="宋体"/>
          <w:color w:val="000000" w:themeColor="text1"/>
          <w:sz w:val="24"/>
        </w:rPr>
        <w:t>（1）过道、走廊及电梯</w:t>
      </w:r>
    </w:p>
    <w:p w14:paraId="2C461FAA">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1）所管区域道路和地面：无污迹、无水泥迹、无口香糖胶迹、无水迹、无堆放杂物、无青苔。</w:t>
      </w:r>
    </w:p>
    <w:p w14:paraId="2C0175E1">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2）绿化带、花草盆：无垃圾、无脏杂物，和明显积尘，花草盆侧面及槽边无污迹、无积尘、无积水和异味。、</w:t>
      </w:r>
    </w:p>
    <w:p w14:paraId="0F6F684B">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3）阶梯：无污迹、无水泥迹、无口香糖胶迹、无积水、无堆放杂物。</w:t>
      </w:r>
    </w:p>
    <w:p w14:paraId="44052CF8">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4）扶手：无污迹、无水泥。</w:t>
      </w:r>
    </w:p>
    <w:p w14:paraId="3645CED0">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5）墙面：无污迹、无乱张贴物。</w:t>
      </w:r>
    </w:p>
    <w:p w14:paraId="337BFF46">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6）门窗：无污迹、无积尘、无乱张贴物。</w:t>
      </w:r>
    </w:p>
    <w:p w14:paraId="101113CE">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7）指示牌：无污迹、无积尘。</w:t>
      </w:r>
    </w:p>
    <w:p w14:paraId="2C725887">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8）消</w:t>
      </w:r>
      <w:r>
        <w:rPr>
          <w:rFonts w:hint="eastAsia" w:ascii="宋体" w:hAnsi="宋体"/>
          <w:color w:val="000000" w:themeColor="text1"/>
          <w:sz w:val="24"/>
          <w:lang w:val="en-US" w:eastAsia="zh-CN"/>
        </w:rPr>
        <w:t>火</w:t>
      </w:r>
      <w:r>
        <w:rPr>
          <w:rFonts w:hint="eastAsia" w:ascii="宋体" w:hAnsi="宋体"/>
          <w:color w:val="000000" w:themeColor="text1"/>
          <w:sz w:val="24"/>
        </w:rPr>
        <w:t>栓：无污迹、无积尘。</w:t>
      </w:r>
    </w:p>
    <w:p w14:paraId="5EEF5792">
      <w:pPr>
        <w:spacing w:line="360" w:lineRule="auto"/>
        <w:ind w:firstLine="720" w:firstLineChars="300"/>
        <w:rPr>
          <w:color w:val="000000" w:themeColor="text1"/>
        </w:rPr>
      </w:pPr>
      <w:r>
        <w:rPr>
          <w:rFonts w:hint="eastAsia" w:ascii="宋体" w:hAnsi="宋体"/>
          <w:color w:val="000000" w:themeColor="text1"/>
          <w:sz w:val="24"/>
        </w:rPr>
        <w:t>9）出入栏杆：无污迹、无积尘</w:t>
      </w:r>
    </w:p>
    <w:p w14:paraId="55B272F5">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10）电梯轿厢：无污渍无粘贴物；灯具、操作指示板明亮；厢内地面干净无异味；电梯门槽内无垃圾无杂物。</w:t>
      </w:r>
    </w:p>
    <w:p w14:paraId="69D8CBF6">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11）地漏及排水口：无污物、无阻塞。</w:t>
      </w:r>
    </w:p>
    <w:p w14:paraId="77E1609C">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12）垃圾桶：桶体光洁无污迹、无痰迹，烟灰缸上无烟头、杂物桶内垃圾不得超过桶口。</w:t>
      </w:r>
    </w:p>
    <w:p w14:paraId="79067F3E">
      <w:pPr>
        <w:spacing w:line="460" w:lineRule="exact"/>
        <w:ind w:firstLine="720" w:firstLineChars="300"/>
        <w:rPr>
          <w:color w:val="000000" w:themeColor="text1"/>
        </w:rPr>
      </w:pPr>
      <w:r>
        <w:rPr>
          <w:rFonts w:hint="eastAsia" w:ascii="宋体" w:hAnsi="宋体"/>
          <w:color w:val="000000" w:themeColor="text1"/>
          <w:sz w:val="24"/>
        </w:rPr>
        <w:t>13）垃圾：日产日清，做好垃圾分类、垃圾袋装化、将所有垃圾集中堆放在垃圾点做到合理、卫生、四周无散放垃圾；垃圾堆放点保持清洁、无异味、经常喷洒药水防止虫害。</w:t>
      </w:r>
    </w:p>
    <w:p w14:paraId="06B8F5D4">
      <w:pPr>
        <w:spacing w:line="460" w:lineRule="exact"/>
        <w:ind w:firstLine="240" w:firstLineChars="100"/>
        <w:rPr>
          <w:rFonts w:ascii="宋体" w:hAnsi="宋体"/>
          <w:color w:val="000000" w:themeColor="text1"/>
          <w:sz w:val="24"/>
        </w:rPr>
      </w:pPr>
      <w:r>
        <w:rPr>
          <w:rFonts w:hint="eastAsia" w:ascii="宋体" w:hAnsi="宋体"/>
          <w:color w:val="000000" w:themeColor="text1"/>
          <w:sz w:val="24"/>
        </w:rPr>
        <w:t>（2）洗手间</w:t>
      </w:r>
    </w:p>
    <w:p w14:paraId="47FBDFDB">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1）地面：无污迹、无水泥迹、无口香糖胶迹、无积水、无堆放杂物。</w:t>
      </w:r>
    </w:p>
    <w:p w14:paraId="022CA88A">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2）墙面：无污迹、无乱张贴物。</w:t>
      </w:r>
    </w:p>
    <w:p w14:paraId="0D92EB63">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3）天花板：无污迹、无积尘、无蜘蛛网、无霉迹。</w:t>
      </w:r>
    </w:p>
    <w:p w14:paraId="594C3883">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4）光管罩：无污迹、无积尘、无蜘蛛网、无霉迹。</w:t>
      </w:r>
    </w:p>
    <w:p w14:paraId="18076DFF">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5）窗户：无污迹、无积尘、无乱张贴物。</w:t>
      </w:r>
    </w:p>
    <w:p w14:paraId="4361AF62">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6）镜台：无污迹、无积尘、无乱张贴物。</w:t>
      </w:r>
    </w:p>
    <w:p w14:paraId="56E2D0EA">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7）洗手盆：表面光洁、无污迹。</w:t>
      </w:r>
    </w:p>
    <w:p w14:paraId="63D983E0">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8）镜面：无污迹、无积尘、无乱张贴物。</w:t>
      </w:r>
    </w:p>
    <w:p w14:paraId="35B39A86">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9）排气口：无污迹、无积尘、无蜘蛛网、无霉迹。</w:t>
      </w:r>
    </w:p>
    <w:p w14:paraId="7466EDF3">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10）尿槽：表面光洁、无尿迹、无污迹、无水锈迹、无烟头、无杂物、无异味。</w:t>
      </w:r>
    </w:p>
    <w:p w14:paraId="0A3269D5">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11）厕座：厕盖及厕体内外光洁，其内无尿迹、无污迹、无水锈迹、无阻塞。</w:t>
      </w:r>
    </w:p>
    <w:p w14:paraId="3AB03851">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12）手纸箱：无污迹、无积尘、无蜘蛛网、无霉迹。</w:t>
      </w:r>
    </w:p>
    <w:p w14:paraId="49DDF3CD">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13）门窗：无污迹、无积尘、无乱张贴物、透光性好。</w:t>
      </w:r>
    </w:p>
    <w:p w14:paraId="6BAE887D">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14）地漏及水沟：无污物积聚、无阻塞。</w:t>
      </w:r>
    </w:p>
    <w:p w14:paraId="08BACF19">
      <w:pPr>
        <w:pStyle w:val="2"/>
        <w:spacing w:line="360" w:lineRule="auto"/>
        <w:ind w:firstLine="720" w:firstLineChars="300"/>
        <w:rPr>
          <w:color w:val="000000" w:themeColor="text1"/>
        </w:rPr>
      </w:pPr>
      <w:r>
        <w:rPr>
          <w:rFonts w:hint="eastAsia" w:ascii="宋体" w:hAnsi="宋体"/>
          <w:color w:val="000000" w:themeColor="text1"/>
          <w:sz w:val="24"/>
        </w:rPr>
        <w:t>15）垃圾桶:垃圾不可溢出桶身。</w:t>
      </w:r>
    </w:p>
    <w:p w14:paraId="78FB53E7">
      <w:pPr>
        <w:spacing w:line="360" w:lineRule="auto"/>
        <w:ind w:firstLine="240" w:firstLineChars="100"/>
        <w:rPr>
          <w:rFonts w:ascii="宋体" w:hAnsi="宋体"/>
          <w:color w:val="000000" w:themeColor="text1"/>
          <w:sz w:val="24"/>
        </w:rPr>
      </w:pPr>
      <w:r>
        <w:rPr>
          <w:rFonts w:hint="eastAsia" w:ascii="宋体" w:hAnsi="宋体"/>
          <w:color w:val="000000" w:themeColor="text1"/>
          <w:sz w:val="24"/>
        </w:rPr>
        <w:t>（3）会议室及教室</w:t>
      </w:r>
    </w:p>
    <w:p w14:paraId="412D36D4">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1）地面：无污迹、无水泥迹、无纸屑；无口香糖胶迹、无积水、无堆放杂物。</w:t>
      </w:r>
    </w:p>
    <w:p w14:paraId="1F38C21D">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2）墙面：无污迹、无乱张贴物。</w:t>
      </w:r>
    </w:p>
    <w:p w14:paraId="55BE7F27">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3）天花板：无污迹、无积尘、无蜘蛛网、无霉迹。</w:t>
      </w:r>
    </w:p>
    <w:p w14:paraId="13729B00">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4）光管罩：无污迹、无积尘、无蜘蛛网、无霉迹。</w:t>
      </w:r>
    </w:p>
    <w:p w14:paraId="4EDEFCCF">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5）桌椅：无污迹、无积尘、无水迹、无张贴物、整洁。</w:t>
      </w:r>
    </w:p>
    <w:p w14:paraId="73E0F8F5">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6）窗户：无污迹、无积尘、无乱张贴物、无蜘蛛网。</w:t>
      </w:r>
    </w:p>
    <w:p w14:paraId="68F5411B">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7）黑板及讲台：干净整洁、无污迹、无积尘、无积灰、无乱张贴物</w:t>
      </w:r>
    </w:p>
    <w:p w14:paraId="19ACDE94">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8）多媒体设施：无污迹、无积灰、无乱张贴物。</w:t>
      </w:r>
    </w:p>
    <w:p w14:paraId="32DEB60E">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9）操作柜：无污迹、无积尘、无乱张贴物、物资摆放规整有序。</w:t>
      </w:r>
    </w:p>
    <w:p w14:paraId="40DF3EB6">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10）装饰物：无污迹、无积尘、无乱张贴物。</w:t>
      </w:r>
    </w:p>
    <w:p w14:paraId="66AA77C0">
      <w:pPr>
        <w:spacing w:line="460" w:lineRule="exact"/>
        <w:ind w:firstLine="240" w:firstLineChars="100"/>
        <w:rPr>
          <w:rFonts w:ascii="宋体" w:hAnsi="宋体"/>
          <w:color w:val="000000" w:themeColor="text1"/>
          <w:sz w:val="24"/>
        </w:rPr>
      </w:pPr>
      <w:r>
        <w:rPr>
          <w:rFonts w:hint="eastAsia" w:ascii="宋体" w:hAnsi="宋体"/>
          <w:color w:val="000000" w:themeColor="text1"/>
          <w:sz w:val="24"/>
        </w:rPr>
        <w:t>（4）露台，包括天台、平台、阳台</w:t>
      </w:r>
    </w:p>
    <w:p w14:paraId="27CB513D">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1）消</w:t>
      </w:r>
      <w:r>
        <w:rPr>
          <w:rFonts w:hint="eastAsia" w:ascii="宋体" w:hAnsi="宋体"/>
          <w:color w:val="000000" w:themeColor="text1"/>
          <w:sz w:val="24"/>
          <w:lang w:val="en-US" w:eastAsia="zh-CN"/>
        </w:rPr>
        <w:t>火</w:t>
      </w:r>
      <w:bookmarkStart w:id="13" w:name="_GoBack"/>
      <w:bookmarkEnd w:id="13"/>
      <w:r>
        <w:rPr>
          <w:rFonts w:hint="eastAsia" w:ascii="宋体" w:hAnsi="宋体"/>
          <w:color w:val="000000" w:themeColor="text1"/>
          <w:sz w:val="24"/>
        </w:rPr>
        <w:t>栓：无污迹、无积尘、无乱张贴物。</w:t>
      </w:r>
    </w:p>
    <w:p w14:paraId="04DB8FB1">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2）地漏及水沟：无污物积聚、无阻塞、无杂草。</w:t>
      </w:r>
    </w:p>
    <w:p w14:paraId="193EBE1D">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3）地面：无堆放杂物、无垃圾、无污迹。</w:t>
      </w:r>
    </w:p>
    <w:p w14:paraId="5F75045F">
      <w:pPr>
        <w:spacing w:line="460" w:lineRule="exact"/>
        <w:ind w:firstLine="240" w:firstLineChars="100"/>
        <w:rPr>
          <w:rFonts w:ascii="宋体" w:hAnsi="宋体"/>
          <w:color w:val="000000" w:themeColor="text1"/>
          <w:sz w:val="24"/>
        </w:rPr>
      </w:pPr>
      <w:r>
        <w:rPr>
          <w:rFonts w:hint="eastAsia" w:ascii="宋体" w:hAnsi="宋体"/>
          <w:color w:val="000000" w:themeColor="text1"/>
          <w:sz w:val="24"/>
        </w:rPr>
        <w:t>（5）保洁频次要求</w:t>
      </w:r>
    </w:p>
    <w:p w14:paraId="51540A0C">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1）楼层及大厅：石材定期进行保养，1个月至少1次，人流量大的地方，1个星期做1次，石面无污渍、无磨损、有光亮度。</w:t>
      </w:r>
    </w:p>
    <w:p w14:paraId="4CDD9F70">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2）电梯：每日擦拭1次轿厢门、面板。不锈钢材料装饰的轿厢每月护理2次，石材装饰的轿厢每季度养护1次。</w:t>
      </w:r>
    </w:p>
    <w:p w14:paraId="4757520D">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3）会议室：地毯清洁每月清洁1次、会议室1用1清洁。</w:t>
      </w:r>
    </w:p>
    <w:p w14:paraId="14E83619">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4）指定办公室：每日下班后清洁1次，地板每月保养1次。</w:t>
      </w:r>
    </w:p>
    <w:p w14:paraId="5E9CD9A0">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5）教室：每天3次集中清洁，上午八点前，下午两点前、晚上下课后所有教室区域全面清洁完毕，并随时保洁；教室吊扇、灯具等每季度清洁1次。</w:t>
      </w:r>
    </w:p>
    <w:p w14:paraId="696ADA17">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6）楼内栏杆：每天擦1次，保证无积尘、无污垢。</w:t>
      </w:r>
    </w:p>
    <w:p w14:paraId="7DCC77CA">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7）玻璃：会议室玻璃半月擦1次，楼道玻璃半月1次，指定办公室玻璃半月1次，卫生间玻璃半月1次，其他离地面2米以下玻璃每季度至少擦一次，表面无污迹无积尘，</w:t>
      </w:r>
    </w:p>
    <w:p w14:paraId="730BF846">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8）卫生间：办公楼地面每日清洁4次以上，镜面、洗手台、蹲便间半个小时循环保洁1次；教学楼每日清洁4次以上，镜面、洗手台、蹲便间1个小时循环保洁1次。</w:t>
      </w:r>
    </w:p>
    <w:p w14:paraId="3F30295B">
      <w:pPr>
        <w:spacing w:line="460" w:lineRule="exact"/>
        <w:ind w:firstLine="720" w:firstLineChars="300"/>
        <w:jc w:val="left"/>
        <w:rPr>
          <w:rFonts w:ascii="宋体" w:hAnsi="宋体"/>
          <w:color w:val="000000" w:themeColor="text1"/>
          <w:sz w:val="24"/>
        </w:rPr>
      </w:pPr>
      <w:r>
        <w:rPr>
          <w:rFonts w:hint="eastAsia" w:ascii="宋体" w:hAnsi="宋体"/>
          <w:color w:val="000000" w:themeColor="text1"/>
          <w:sz w:val="24"/>
        </w:rPr>
        <w:t>9）消防器材：每月清洁一次，保持干净无尘土。</w:t>
      </w:r>
    </w:p>
    <w:p w14:paraId="18F7E577">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10）垃圾桶：每天清理至少两次，保持表面无污迹、无痰迹、无垃圾外露。</w:t>
      </w:r>
    </w:p>
    <w:p w14:paraId="05C9BCB5">
      <w:pPr>
        <w:spacing w:line="360" w:lineRule="auto"/>
        <w:ind w:firstLine="720" w:firstLineChars="300"/>
        <w:rPr>
          <w:color w:val="000000" w:themeColor="text1"/>
        </w:rPr>
      </w:pPr>
      <w:r>
        <w:rPr>
          <w:rFonts w:hint="eastAsia" w:ascii="宋体" w:hAnsi="宋体"/>
          <w:color w:val="000000" w:themeColor="text1"/>
          <w:sz w:val="24"/>
        </w:rPr>
        <w:t>11）平台、屋顶：每月至少清扫1次。雨季期间，每半月清扫1次；每月巡查2次天台、内天井。</w:t>
      </w:r>
    </w:p>
    <w:p w14:paraId="3B49ED6E">
      <w:pPr>
        <w:spacing w:line="460" w:lineRule="exact"/>
        <w:ind w:firstLine="720" w:firstLineChars="300"/>
        <w:jc w:val="left"/>
        <w:rPr>
          <w:color w:val="000000" w:themeColor="text1"/>
        </w:rPr>
      </w:pPr>
      <w:r>
        <w:rPr>
          <w:rFonts w:hint="eastAsia" w:ascii="宋体" w:hAnsi="宋体"/>
          <w:color w:val="000000" w:themeColor="text1"/>
          <w:sz w:val="24"/>
        </w:rPr>
        <w:t>12）喷水池：两月彻底清洗一次，水池无漂浮青苔、杂物，水池内无污垢。负责运行管理，按照学校要求开关喷水池。</w:t>
      </w:r>
    </w:p>
    <w:p w14:paraId="6F7A60B2">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13）二办公区停车场：每天清洁两次，保持地面无垃圾、杂物等。</w:t>
      </w:r>
    </w:p>
    <w:p w14:paraId="78FC889B">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14）每天将管理范围内的垃圾分类并清运至学校垃圾场。</w:t>
      </w:r>
    </w:p>
    <w:p w14:paraId="1743DAB6">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15）及时响应学校各种突发性应急保障服务；</w:t>
      </w:r>
    </w:p>
    <w:p w14:paraId="6F92AD1E">
      <w:pPr>
        <w:spacing w:line="460" w:lineRule="exact"/>
        <w:ind w:firstLine="720" w:firstLineChars="300"/>
        <w:rPr>
          <w:rFonts w:ascii="宋体" w:hAnsi="宋体"/>
          <w:b/>
          <w:color w:val="000000" w:themeColor="text1"/>
          <w:sz w:val="24"/>
          <w:szCs w:val="24"/>
        </w:rPr>
      </w:pPr>
      <w:r>
        <w:rPr>
          <w:rFonts w:hint="eastAsia" w:ascii="宋体" w:hAnsi="宋体"/>
          <w:color w:val="000000" w:themeColor="text1"/>
          <w:sz w:val="24"/>
        </w:rPr>
        <w:t>16）定期进行除四害工作。</w:t>
      </w:r>
    </w:p>
    <w:p w14:paraId="3868EBD4">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 xml:space="preserve"> 安全秩序管理服务</w:t>
      </w:r>
    </w:p>
    <w:p w14:paraId="01145CE3">
      <w:pPr>
        <w:spacing w:line="360" w:lineRule="auto"/>
        <w:ind w:firstLine="482" w:firstLineChars="200"/>
        <w:rPr>
          <w:rFonts w:ascii="宋体" w:hAnsi="宋体"/>
          <w:b/>
          <w:color w:val="000000" w:themeColor="text1"/>
          <w:szCs w:val="21"/>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.1 服务内容</w:t>
      </w:r>
    </w:p>
    <w:p w14:paraId="798B44DA">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负责管理区域的治安防范、财产安全、公共秩序管理及突发事件处理，包括巡逻管理、教室门开关管理、消防及监控室值守、楼栋值守、人员物资进出管控以及配合学校活动的安全保障，突发事件处置，安全隐患等。</w:t>
      </w:r>
    </w:p>
    <w:p w14:paraId="73EC99BE">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.2 服务要求</w:t>
      </w:r>
    </w:p>
    <w:p w14:paraId="53C117DE">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（1）建立秩序管理制度，实行24小时服务区安全巡查，重点部位应蹲点与巡查相结合。</w:t>
      </w:r>
    </w:p>
    <w:p w14:paraId="429D66CC">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（2）秩序维护人员要熟悉学校及校园周边基本情况，积极做好治安秩序的维护，突发事件的应急处置主动遵守学校各项管理规定和相关管理部门的工作要求。</w:t>
      </w:r>
    </w:p>
    <w:p w14:paraId="182E6A59">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（3）门岗实行24小时值班制，严格对人员进出的管理，确保办公楼、教学楼各出入口畅通、安全、有序。疫情期间做好防控管理。</w:t>
      </w:r>
    </w:p>
    <w:p w14:paraId="4F832434">
      <w:pPr>
        <w:pStyle w:val="2"/>
        <w:spacing w:line="360" w:lineRule="auto"/>
        <w:ind w:firstLine="450"/>
        <w:rPr>
          <w:rFonts w:ascii="宋体" w:hAnsi="宋体"/>
          <w:color w:val="000000" w:themeColor="text1"/>
          <w:sz w:val="24"/>
        </w:rPr>
      </w:pPr>
      <w:r>
        <w:rPr>
          <w:rFonts w:hint="eastAsia" w:ascii="宋体" w:hAnsi="宋体"/>
          <w:color w:val="000000" w:themeColor="text1"/>
          <w:sz w:val="24"/>
        </w:rPr>
        <w:t>（4）师生出入办公楼、教学楼各出入口高峰时段，应安排人员维护交通秩序，防止发生拥挤踩踏等伤害事故。</w:t>
      </w:r>
    </w:p>
    <w:p w14:paraId="2C4E91CA">
      <w:pPr>
        <w:pStyle w:val="2"/>
        <w:spacing w:line="360" w:lineRule="auto"/>
        <w:ind w:firstLine="450"/>
        <w:rPr>
          <w:rFonts w:ascii="宋体" w:hAnsi="宋体"/>
          <w:color w:val="000000" w:themeColor="text1"/>
          <w:sz w:val="24"/>
        </w:rPr>
      </w:pPr>
      <w:r>
        <w:rPr>
          <w:rFonts w:hint="eastAsia" w:ascii="宋体" w:hAnsi="宋体"/>
          <w:color w:val="000000" w:themeColor="text1"/>
          <w:sz w:val="24"/>
        </w:rPr>
        <w:t>（5）门岗应加强物品管控，对大件物品带出办公楼、教学楼做好登记审核管理工作；禁止任何人员将非教学、科研使用的易燃易爆物品、有毒有害物品、动物和管制器具等危险物品带入管辖区域。涉及教学、科研使用的易燃易爆物品、有毒有害物品、动物和管制器具等危险物品，需经相关部门同意，由专人带入。</w:t>
      </w:r>
    </w:p>
    <w:p w14:paraId="780BE42D">
      <w:pPr>
        <w:pStyle w:val="2"/>
        <w:spacing w:line="360" w:lineRule="auto"/>
        <w:ind w:firstLine="450"/>
        <w:rPr>
          <w:rFonts w:ascii="宋体" w:hAnsi="宋体"/>
          <w:color w:val="000000" w:themeColor="text1"/>
          <w:sz w:val="24"/>
        </w:rPr>
      </w:pPr>
      <w:r>
        <w:rPr>
          <w:rFonts w:hint="eastAsia" w:ascii="宋体" w:hAnsi="宋体"/>
          <w:color w:val="000000" w:themeColor="text1"/>
          <w:sz w:val="24"/>
        </w:rPr>
        <w:t>（6）消防、安防监控中心配备专职人员持证上岗，保持安全监控设施设备24 小时运行，控制室24 小时值班，并做好值班记录。</w:t>
      </w:r>
      <w:bookmarkStart w:id="1" w:name="_Hlk101813267"/>
    </w:p>
    <w:bookmarkEnd w:id="1"/>
    <w:p w14:paraId="137B03F6">
      <w:pPr>
        <w:pStyle w:val="2"/>
        <w:spacing w:line="360" w:lineRule="auto"/>
        <w:ind w:firstLine="450"/>
        <w:rPr>
          <w:rFonts w:ascii="宋体" w:hAnsi="宋体"/>
          <w:color w:val="000000" w:themeColor="text1"/>
          <w:sz w:val="24"/>
        </w:rPr>
      </w:pPr>
      <w:r>
        <w:rPr>
          <w:rFonts w:hint="eastAsia" w:ascii="宋体" w:hAnsi="宋体"/>
          <w:color w:val="000000" w:themeColor="text1"/>
          <w:sz w:val="24"/>
        </w:rPr>
        <w:t>（7）监控值班期间，保障电话（消防、电梯、治安等）畅通，接听及时。发生异常情况时，监控中心应联动处置，若为紧急情况，应立即启动相关应急预案。</w:t>
      </w:r>
    </w:p>
    <w:p w14:paraId="4B703FCD">
      <w:pPr>
        <w:pStyle w:val="2"/>
        <w:spacing w:line="360" w:lineRule="auto"/>
        <w:ind w:firstLine="450"/>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8</w:t>
      </w:r>
      <w:r>
        <w:rPr>
          <w:rFonts w:hint="eastAsia" w:ascii="宋体" w:hAnsi="宋体"/>
          <w:color w:val="000000" w:themeColor="text1"/>
          <w:sz w:val="24"/>
        </w:rPr>
        <w:t>）消防、安防监控中心设施设备应运转正常。</w:t>
      </w:r>
    </w:p>
    <w:p w14:paraId="1C78BB83">
      <w:pPr>
        <w:pStyle w:val="2"/>
        <w:spacing w:line="360" w:lineRule="auto"/>
        <w:ind w:firstLine="450"/>
        <w:rPr>
          <w:rFonts w:ascii="宋体" w:hAnsi="宋体"/>
          <w:color w:val="000000" w:themeColor="text1"/>
          <w:sz w:val="24"/>
        </w:rPr>
      </w:pPr>
      <w:r>
        <w:rPr>
          <w:rFonts w:hint="eastAsia" w:ascii="宋体" w:hAnsi="宋体"/>
          <w:color w:val="000000" w:themeColor="text1"/>
          <w:sz w:val="24"/>
        </w:rPr>
        <w:t>（9）监控的录入资料应至少留存 90 天备查，有特殊要求的参照相关规定或行业标准执行。对监控资料的查阅实行审批制度。</w:t>
      </w:r>
    </w:p>
    <w:p w14:paraId="789AFEFF">
      <w:pPr>
        <w:pStyle w:val="2"/>
        <w:spacing w:line="360" w:lineRule="auto"/>
        <w:ind w:firstLine="320" w:firstLineChars="100"/>
        <w:rPr>
          <w:rFonts w:ascii="宋体" w:hAnsi="宋体"/>
          <w:b/>
          <w:bCs/>
          <w:color w:val="000000" w:themeColor="text1"/>
          <w:sz w:val="24"/>
        </w:rPr>
      </w:pPr>
      <w:r>
        <w:rPr>
          <w:rFonts w:hint="eastAsia" w:ascii="微软雅黑" w:hAnsi="微软雅黑" w:eastAsia="微软雅黑"/>
          <w:color w:val="000000" w:themeColor="text1"/>
          <w:sz w:val="32"/>
          <w:szCs w:val="32"/>
        </w:rPr>
        <w:t>★</w:t>
      </w:r>
      <w:r>
        <w:rPr>
          <w:rFonts w:hint="eastAsia" w:ascii="宋体" w:hAnsi="宋体"/>
          <w:color w:val="000000" w:themeColor="text1"/>
          <w:sz w:val="24"/>
        </w:rPr>
        <w:t>（10）每日对教学、办公等场所进行安全巡视，重点关注消防与安全防范重点部位，重点区域、重点部位每 1小时巡查 1 次，其余区域每 3 小时巡查 1 次，巡查路线覆盖全部楼层。</w:t>
      </w:r>
      <w:r>
        <w:rPr>
          <w:rFonts w:hint="eastAsia" w:ascii="宋体" w:hAnsi="宋体"/>
          <w:b/>
          <w:bCs/>
          <w:color w:val="000000" w:themeColor="text1"/>
          <w:sz w:val="24"/>
        </w:rPr>
        <w:t>（供应商提供承诺函）</w:t>
      </w:r>
    </w:p>
    <w:p w14:paraId="7A11D67F">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1</w:t>
      </w:r>
      <w:r>
        <w:rPr>
          <w:rFonts w:hint="eastAsia" w:ascii="宋体" w:hAnsi="宋体"/>
          <w:color w:val="000000" w:themeColor="text1"/>
          <w:sz w:val="24"/>
        </w:rPr>
        <w:t>）应接受学校安全管理部门的监督管理，完成其交办的临时任务。</w:t>
      </w:r>
      <w:bookmarkStart w:id="2" w:name="_Hlk101761432"/>
      <w:bookmarkStart w:id="3" w:name="_Hlk101051049"/>
    </w:p>
    <w:bookmarkEnd w:id="2"/>
    <w:bookmarkEnd w:id="3"/>
    <w:p w14:paraId="113A777A">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★12）投标人需承诺因物业管理不善造成的安全事故，由物业公司承担相应责任。</w:t>
      </w:r>
      <w:r>
        <w:rPr>
          <w:rFonts w:hint="eastAsia" w:ascii="宋体" w:hAnsi="宋体"/>
          <w:b/>
          <w:bCs/>
          <w:color w:val="000000" w:themeColor="text1"/>
          <w:sz w:val="24"/>
        </w:rPr>
        <w:t>（提供承诺函）</w:t>
      </w:r>
    </w:p>
    <w:p w14:paraId="66B1BA3C">
      <w:pPr>
        <w:pStyle w:val="2"/>
        <w:spacing w:line="360" w:lineRule="auto"/>
        <w:ind w:firstLine="480" w:firstLineChars="200"/>
        <w:rPr>
          <w:color w:val="000000" w:themeColor="text1"/>
        </w:rPr>
      </w:pPr>
      <w:r>
        <w:rPr>
          <w:rFonts w:hint="eastAsia"/>
          <w:color w:val="000000" w:themeColor="text1"/>
          <w:sz w:val="24"/>
          <w:szCs w:val="24"/>
        </w:rPr>
        <w:t>（13）投标人应按照安全秩序管理服务内容、服务要求、服务标准开展本项目安全秩序管理服务工作，提供安全秩序管理服务方案，方案包括不限于人员配置及职责，五六教秩序维护方案、疫情防控期间门岗管理方案、办公楼秩序维护方案、夜间清场方案、消防安全管理方案、重大活动秩序保障方案等。</w:t>
      </w:r>
    </w:p>
    <w:p w14:paraId="55AEB617">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.3 服务区域及标准</w:t>
      </w:r>
    </w:p>
    <w:p w14:paraId="5FC4CEB3">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（1）楼栋值守及巡查管理</w:t>
      </w:r>
    </w:p>
    <w:p w14:paraId="446E5FD1">
      <w:pPr>
        <w:pStyle w:val="2"/>
        <w:spacing w:line="360" w:lineRule="auto"/>
        <w:rPr>
          <w:rFonts w:ascii="宋体" w:hAnsi="宋体"/>
          <w:color w:val="000000" w:themeColor="text1"/>
          <w:sz w:val="24"/>
        </w:rPr>
      </w:pPr>
      <w:r>
        <w:rPr>
          <w:rFonts w:hint="eastAsia" w:ascii="宋体" w:hAnsi="宋体"/>
          <w:color w:val="000000" w:themeColor="text1"/>
          <w:sz w:val="24"/>
        </w:rPr>
        <w:t xml:space="preserve">      1）礼仪岗：行政楼主门岗、二楼门岗、第二办公楼和行政楼旁原锦地苑浴室办公区门岗每天早上上班及下午下班实行礼仪岗；教学楼每天早上上课时间实行礼仪岗。站岗时应保持良好的站立形象，不得从事与非岗位无关的事情。</w:t>
      </w:r>
    </w:p>
    <w:p w14:paraId="34290450">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 xml:space="preserve">  2）执行24小时值班：行政楼主大门、教学楼A.B.C.D区实行24小时值守。对外来人员进行验证、登记，发现疑点及时询问，防止闲杂人员进入；对物品进出实施分类记录，大宗物品进出应进行审验，严防危险物品进入。</w:t>
      </w:r>
    </w:p>
    <w:p w14:paraId="0F45E6A2">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巡查：建立安全巡查制度，定期进行巡查并做好记录，定期开展安全检查，排除不安全因素，发现违规行为及时制止，发现异常情况立即通知相关部门并在现场采取必要措施。巡查指定区域的消火栓、安全警示标志等涉及公共安全的设施设备，发现缺失、损坏或不能正常使用等情况，及时报告并记录。</w:t>
      </w:r>
    </w:p>
    <w:p w14:paraId="18A12E65">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4）做好管理区域内学生管理，依照法律法规和学校规章，文明、妥善纠正、制止学生违法违纪行为，并及时向学校相关部门报告。</w:t>
      </w:r>
    </w:p>
    <w:p w14:paraId="1C6A54F6">
      <w:pPr>
        <w:pStyle w:val="2"/>
        <w:rPr>
          <w:rFonts w:ascii="宋体" w:hAnsi="宋体"/>
          <w:color w:val="000000" w:themeColor="text1"/>
          <w:sz w:val="24"/>
        </w:rPr>
      </w:pPr>
      <w:r>
        <w:rPr>
          <w:rFonts w:hint="eastAsia" w:ascii="宋体" w:hAnsi="宋体"/>
          <w:color w:val="000000" w:themeColor="text1"/>
          <w:sz w:val="24"/>
        </w:rPr>
        <w:t xml:space="preserve">      5）阻止管理区域内推销、发传单、违规使用教室的行为。</w:t>
      </w:r>
    </w:p>
    <w:p w14:paraId="6AF2FE6A">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6）教室门开关管理：根据学校要求，每天7点30前打开所有教室门窗；每晚11点前关闭所有教室门窗，并对教室内多媒体设备、教室灯具、电扇、空调等进行检查，并关闭电源。</w:t>
      </w:r>
    </w:p>
    <w:p w14:paraId="004A94A6">
      <w:pPr>
        <w:spacing w:line="360" w:lineRule="auto"/>
        <w:ind w:firstLine="720" w:firstLineChars="300"/>
        <w:rPr>
          <w:rFonts w:ascii="宋体" w:hAnsi="宋体"/>
          <w:color w:val="000000" w:themeColor="text1"/>
          <w:sz w:val="24"/>
        </w:rPr>
      </w:pPr>
      <w:r>
        <w:rPr>
          <w:rFonts w:ascii="宋体" w:hAnsi="宋体"/>
          <w:color w:val="000000" w:themeColor="text1"/>
          <w:sz w:val="24"/>
        </w:rPr>
        <w:t>7</w:t>
      </w:r>
      <w:r>
        <w:rPr>
          <w:rFonts w:hint="eastAsia" w:ascii="宋体" w:hAnsi="宋体"/>
          <w:color w:val="000000" w:themeColor="text1"/>
          <w:sz w:val="24"/>
        </w:rPr>
        <w:t>）夜间清场管理：有清场管理制度，在规定的时间内在教学区域、办公楼等实行清场，对加班人员进行登记，在项目服务方案中提供清场管理制度。</w:t>
      </w:r>
    </w:p>
    <w:p w14:paraId="18A5EDF9">
      <w:pPr>
        <w:spacing w:line="360" w:lineRule="auto"/>
        <w:rPr>
          <w:rFonts w:ascii="宋体" w:hAnsi="宋体"/>
          <w:color w:val="000000" w:themeColor="text1"/>
          <w:sz w:val="24"/>
        </w:rPr>
      </w:pPr>
      <w:r>
        <w:rPr>
          <w:rFonts w:hint="eastAsia" w:ascii="宋体" w:hAnsi="宋体"/>
          <w:color w:val="000000" w:themeColor="text1"/>
          <w:sz w:val="24"/>
        </w:rPr>
        <w:t>（2）消防控制室及监控室值守。</w:t>
      </w:r>
    </w:p>
    <w:p w14:paraId="14FED808">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1）对消防控制室及监控室执行24小时轮流值守，认真做好监控设备设施的安全，杜绝被盗、人为损坏等事件的发生。</w:t>
      </w:r>
    </w:p>
    <w:p w14:paraId="2DE91EA4">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2）监控人员应熟悉学校情况，熟悉监控及消防系统，保证对安全出入口、内部重点区域的安全监控，保持完整记录。</w:t>
      </w:r>
    </w:p>
    <w:p w14:paraId="11D9481E">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3）及时发现事件、事故苗头、不安全因素等情况，并通知相关值守和巡逻人员前往现场甄别、处置。</w:t>
      </w:r>
    </w:p>
    <w:p w14:paraId="57F9A7EA">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4）保持监控资料、消防资料完整；保持电话畅通，接听及时。</w:t>
      </w:r>
    </w:p>
    <w:p w14:paraId="6A50294A">
      <w:pPr>
        <w:spacing w:line="360" w:lineRule="auto"/>
        <w:rPr>
          <w:rFonts w:ascii="宋体" w:hAnsi="宋体"/>
          <w:color w:val="000000" w:themeColor="text1"/>
          <w:sz w:val="24"/>
        </w:rPr>
      </w:pPr>
      <w:r>
        <w:rPr>
          <w:rFonts w:hint="eastAsia" w:ascii="宋体" w:hAnsi="宋体"/>
          <w:color w:val="000000" w:themeColor="text1"/>
          <w:sz w:val="24"/>
        </w:rPr>
        <w:t>（3）其他服务</w:t>
      </w:r>
    </w:p>
    <w:p w14:paraId="63A32F2C">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1）消防安全协助管理。建立消防安全责任制；对楼内设置的消防设施、消防通道、疏散示意图等消防设施设备进行定期巡视、检查，发现问题和隐患及时上报相关部门。</w:t>
      </w:r>
    </w:p>
    <w:p w14:paraId="1F46E610">
      <w:pPr>
        <w:spacing w:line="360" w:lineRule="auto"/>
        <w:ind w:firstLine="720" w:firstLineChars="300"/>
        <w:jc w:val="left"/>
        <w:rPr>
          <w:rFonts w:ascii="宋体" w:hAnsi="宋体"/>
          <w:color w:val="000000" w:themeColor="text1"/>
          <w:sz w:val="24"/>
        </w:rPr>
      </w:pPr>
      <w:r>
        <w:rPr>
          <w:rFonts w:hint="eastAsia" w:ascii="宋体" w:hAnsi="宋体"/>
          <w:color w:val="000000" w:themeColor="text1"/>
          <w:sz w:val="24"/>
        </w:rPr>
        <w:t>2）安全预防及突发事件处置。对火灾、治安、公共卫生等突发事件有应急预案，事发时及时报告学校和有关部门，并协助采取相应措施。</w:t>
      </w:r>
    </w:p>
    <w:p w14:paraId="3B3467CF">
      <w:pPr>
        <w:spacing w:line="360" w:lineRule="auto"/>
        <w:ind w:firstLine="720" w:firstLineChars="300"/>
        <w:jc w:val="left"/>
        <w:rPr>
          <w:rFonts w:ascii="宋体" w:hAnsi="宋体"/>
          <w:b/>
          <w:bCs/>
          <w:color w:val="000000" w:themeColor="text1"/>
          <w:sz w:val="24"/>
        </w:rPr>
      </w:pPr>
      <w:r>
        <w:rPr>
          <w:rFonts w:hint="eastAsia" w:ascii="宋体" w:hAnsi="宋体"/>
          <w:color w:val="000000" w:themeColor="text1"/>
          <w:sz w:val="24"/>
          <w:szCs w:val="24"/>
        </w:rPr>
        <w:t>★</w:t>
      </w:r>
      <w:r>
        <w:rPr>
          <w:rFonts w:hint="eastAsia" w:ascii="宋体" w:hAnsi="宋体"/>
          <w:color w:val="000000" w:themeColor="text1"/>
          <w:sz w:val="24"/>
        </w:rPr>
        <w:t>3）负责服务区内防盗工作，维护公私财物、设备设施安全，防范被盗、损坏事件发生。由于管理不到位导致学校公共财产损失的，由物业公司承担相应损失。</w:t>
      </w:r>
      <w:r>
        <w:rPr>
          <w:rFonts w:hint="eastAsia" w:ascii="宋体" w:hAnsi="宋体"/>
          <w:b/>
          <w:bCs/>
          <w:color w:val="000000" w:themeColor="text1"/>
          <w:sz w:val="24"/>
        </w:rPr>
        <w:t>（供应商提供承诺函）</w:t>
      </w:r>
    </w:p>
    <w:p w14:paraId="25C96111">
      <w:pPr>
        <w:spacing w:line="360" w:lineRule="auto"/>
        <w:ind w:firstLine="720" w:firstLineChars="300"/>
        <w:jc w:val="left"/>
        <w:rPr>
          <w:rFonts w:ascii="宋体" w:hAnsi="宋体"/>
          <w:color w:val="000000" w:themeColor="text1"/>
          <w:sz w:val="24"/>
        </w:rPr>
      </w:pPr>
      <w:r>
        <w:rPr>
          <w:rFonts w:hint="eastAsia" w:ascii="宋体" w:hAnsi="宋体"/>
          <w:color w:val="000000" w:themeColor="text1"/>
          <w:sz w:val="24"/>
        </w:rPr>
        <w:t>4）针对大型考试、活动、会议接待，根据学校相关要求进行会场的布置、桌椅搬抬等工作。</w:t>
      </w:r>
    </w:p>
    <w:p w14:paraId="6D7C4FF3">
      <w:pPr>
        <w:spacing w:line="360" w:lineRule="auto"/>
        <w:ind w:firstLine="720" w:firstLineChars="300"/>
        <w:jc w:val="left"/>
        <w:rPr>
          <w:rFonts w:ascii="宋体" w:hAnsi="宋体"/>
          <w:color w:val="000000" w:themeColor="text1"/>
          <w:sz w:val="24"/>
        </w:rPr>
      </w:pPr>
      <w:r>
        <w:rPr>
          <w:rFonts w:hint="eastAsia" w:ascii="宋体" w:hAnsi="宋体"/>
          <w:color w:val="000000" w:themeColor="text1"/>
          <w:sz w:val="24"/>
        </w:rPr>
        <w:t>5）</w:t>
      </w:r>
      <w:r>
        <w:rPr>
          <w:rFonts w:hint="eastAsia"/>
          <w:color w:val="000000" w:themeColor="text1"/>
          <w:sz w:val="24"/>
          <w:szCs w:val="24"/>
        </w:rPr>
        <w:t>消防、安防监控中心配备专职人员持证上岗，保持安全监控设施设备24 小时运行，控制室24 小时值班，并做好值班记录。</w:t>
      </w:r>
    </w:p>
    <w:p w14:paraId="5AC8969A">
      <w:pPr>
        <w:spacing w:line="360" w:lineRule="auto"/>
        <w:ind w:firstLine="482" w:firstLineChars="200"/>
        <w:rPr>
          <w:rFonts w:ascii="宋体" w:hAnsi="宋体"/>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 xml:space="preserve"> 绿化养护管理</w:t>
      </w:r>
    </w:p>
    <w:p w14:paraId="782CEAFA">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.1 服务内容</w:t>
      </w:r>
    </w:p>
    <w:p w14:paraId="067715FF">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（1）负责行政楼平台、5楼办公室绿植租摆更换、养护、鲜花造景摆放，负责行政楼内庭绿化的养护、管理。</w:t>
      </w:r>
    </w:p>
    <w:p w14:paraId="779ECC80">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（2）负责第五、第六教学楼内庭绿化的养护、管理。主要内容：绿化修剪，浇水、排水，施肥管理，杂草清除，病虫害防治，树木养护工作。</w:t>
      </w:r>
    </w:p>
    <w:p w14:paraId="76B58240">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.2 服务要求</w:t>
      </w:r>
    </w:p>
    <w:p w14:paraId="4048C58B">
      <w:pPr>
        <w:spacing w:line="360" w:lineRule="auto"/>
        <w:ind w:firstLine="480" w:firstLineChars="200"/>
        <w:rPr>
          <w:rFonts w:ascii="宋体" w:hAnsi="宋体"/>
          <w:b/>
          <w:color w:val="000000" w:themeColor="text1"/>
          <w:sz w:val="24"/>
        </w:rPr>
      </w:pPr>
      <w:r>
        <w:rPr>
          <w:rFonts w:hint="eastAsia" w:ascii="宋体" w:hAnsi="宋体"/>
          <w:color w:val="000000" w:themeColor="text1"/>
          <w:sz w:val="24"/>
        </w:rPr>
        <w:t>（1）建立健全绿化养护、管理制度，建立日常养护巡视制度，做好日常养护记录。</w:t>
      </w:r>
    </w:p>
    <w:p w14:paraId="0974A942">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（2）绿化从业人员须着装整齐、佩戴工卡上岗，做到工完场清，文明作业。</w:t>
      </w:r>
    </w:p>
    <w:p w14:paraId="7430391F">
      <w:pPr>
        <w:pStyle w:val="2"/>
        <w:spacing w:line="360" w:lineRule="auto"/>
        <w:ind w:firstLine="480" w:firstLineChars="200"/>
        <w:rPr>
          <w:color w:val="000000" w:themeColor="text1"/>
          <w:sz w:val="24"/>
        </w:rPr>
      </w:pPr>
      <w:r>
        <w:rPr>
          <w:rFonts w:hint="eastAsia"/>
          <w:color w:val="000000" w:themeColor="text1"/>
          <w:sz w:val="24"/>
        </w:rPr>
        <w:t>（3）配备固定、专职的管理人员和养护人员，细化养护岗位。建立健全绿化养护、管理制度和各岗位职责，建立日常养护巡视制度，做好日常养护记录。</w:t>
      </w:r>
    </w:p>
    <w:p w14:paraId="0D14EFE7">
      <w:pPr>
        <w:pStyle w:val="2"/>
        <w:spacing w:line="360" w:lineRule="auto"/>
        <w:ind w:firstLine="480" w:firstLineChars="200"/>
        <w:rPr>
          <w:color w:val="000000" w:themeColor="text1"/>
          <w:sz w:val="24"/>
        </w:rPr>
      </w:pPr>
      <w:r>
        <w:rPr>
          <w:rFonts w:hint="eastAsia"/>
          <w:color w:val="000000" w:themeColor="text1"/>
          <w:sz w:val="24"/>
        </w:rPr>
        <w:t>（4）保持校园内绿化公共区域内的环境卫生，绿化垃圾应在作业完成后2小时内清理干净。</w:t>
      </w:r>
    </w:p>
    <w:p w14:paraId="28DBDF01">
      <w:pPr>
        <w:pStyle w:val="2"/>
        <w:spacing w:line="360" w:lineRule="auto"/>
        <w:ind w:firstLine="480" w:firstLineChars="200"/>
        <w:rPr>
          <w:color w:val="000000" w:themeColor="text1"/>
          <w:sz w:val="24"/>
        </w:rPr>
      </w:pPr>
      <w:r>
        <w:rPr>
          <w:rFonts w:hint="eastAsia"/>
          <w:color w:val="000000" w:themeColor="text1"/>
          <w:sz w:val="24"/>
        </w:rPr>
        <w:t>（5）应确保绿化垃圾和生活垃圾分类收集和处理。</w:t>
      </w:r>
    </w:p>
    <w:p w14:paraId="47B59529">
      <w:pPr>
        <w:pStyle w:val="2"/>
        <w:spacing w:line="360" w:lineRule="auto"/>
        <w:ind w:firstLine="480" w:firstLineChars="200"/>
        <w:rPr>
          <w:rFonts w:ascii="宋体" w:hAnsi="宋体"/>
          <w:b/>
          <w:color w:val="000000" w:themeColor="text1"/>
          <w:sz w:val="24"/>
        </w:rPr>
      </w:pPr>
      <w:r>
        <w:rPr>
          <w:rFonts w:hint="eastAsia" w:ascii="宋体" w:hAnsi="宋体"/>
          <w:color w:val="000000" w:themeColor="text1"/>
          <w:sz w:val="24"/>
        </w:rPr>
        <w:t>（6）租摆管理：按照学校要求，根据平台环境、采光条件及植物生长习性，合理摆放、搭配、养护行政楼二楼平台租摆绿植和进行内庭绿化，确保植物的正常生长和环境的美观协调；负责派专业人员根据每种绿植的特征对租摆植物和内庭绿化定期进行浇水、施肥、培育、修剪枝杈及防治病虫害；根据季节及学校要求时时更换绿植摆放品种；随时检查租摆绿植，及时更换死亡的植株</w:t>
      </w:r>
      <w:r>
        <w:rPr>
          <w:rFonts w:hint="eastAsia" w:ascii="宋体" w:hAnsi="宋体"/>
          <w:b/>
          <w:color w:val="000000" w:themeColor="text1"/>
          <w:sz w:val="24"/>
        </w:rPr>
        <w:t>（中标单位配置的绿植标准见表2标准配置，配置绿植规格绿植摆放方案必须经学校同意后再实施）</w:t>
      </w:r>
      <w:r>
        <w:rPr>
          <w:rFonts w:hint="eastAsia" w:ascii="宋体" w:hAnsi="宋体"/>
          <w:color w:val="000000" w:themeColor="text1"/>
          <w:sz w:val="24"/>
        </w:rPr>
        <w:t>。</w:t>
      </w:r>
    </w:p>
    <w:p w14:paraId="12D4EACA">
      <w:pPr>
        <w:spacing w:line="420" w:lineRule="exact"/>
        <w:jc w:val="center"/>
        <w:rPr>
          <w:rFonts w:ascii="宋体" w:hAnsi="宋体"/>
          <w:b/>
          <w:color w:val="000000" w:themeColor="text1"/>
          <w:szCs w:val="21"/>
        </w:rPr>
      </w:pPr>
      <w:r>
        <w:rPr>
          <w:rFonts w:hint="eastAsia" w:ascii="宋体" w:hAnsi="宋体"/>
          <w:color w:val="000000" w:themeColor="text1"/>
        </w:rPr>
        <w:t>★表2  行政楼二楼平台绿植租摆要求（包含但不仅限于以下品种）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842"/>
        <w:gridCol w:w="2098"/>
        <w:gridCol w:w="2551"/>
      </w:tblGrid>
      <w:tr w14:paraId="138A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14:paraId="584BB5CC">
            <w:pPr>
              <w:spacing w:line="420" w:lineRule="exact"/>
              <w:jc w:val="center"/>
              <w:rPr>
                <w:rFonts w:ascii="宋体" w:hAnsi="宋体" w:eastAsia="宋体" w:cs="宋体"/>
                <w:color w:val="000000" w:themeColor="text1"/>
                <w:szCs w:val="21"/>
              </w:rPr>
            </w:pPr>
            <w:r>
              <w:rPr>
                <w:rFonts w:hint="eastAsia" w:ascii="宋体" w:hAnsi="宋体"/>
                <w:color w:val="000000" w:themeColor="text1"/>
              </w:rPr>
              <w:t>序号</w:t>
            </w:r>
          </w:p>
        </w:tc>
        <w:tc>
          <w:tcPr>
            <w:tcW w:w="1842" w:type="dxa"/>
            <w:tcBorders>
              <w:top w:val="single" w:color="auto" w:sz="4" w:space="0"/>
              <w:left w:val="single" w:color="auto" w:sz="4" w:space="0"/>
              <w:bottom w:val="single" w:color="auto" w:sz="4" w:space="0"/>
              <w:right w:val="single" w:color="auto" w:sz="4" w:space="0"/>
            </w:tcBorders>
            <w:vAlign w:val="center"/>
          </w:tcPr>
          <w:p w14:paraId="3170A4DD">
            <w:pPr>
              <w:spacing w:line="420" w:lineRule="exact"/>
              <w:jc w:val="center"/>
              <w:rPr>
                <w:rFonts w:ascii="宋体" w:hAnsi="宋体" w:eastAsia="宋体" w:cs="宋体"/>
                <w:color w:val="000000" w:themeColor="text1"/>
                <w:szCs w:val="21"/>
              </w:rPr>
            </w:pPr>
            <w:r>
              <w:rPr>
                <w:rFonts w:hint="eastAsia" w:ascii="宋体" w:hAnsi="宋体"/>
                <w:color w:val="000000" w:themeColor="text1"/>
              </w:rPr>
              <w:t>名称</w:t>
            </w:r>
          </w:p>
        </w:tc>
        <w:tc>
          <w:tcPr>
            <w:tcW w:w="2098" w:type="dxa"/>
            <w:tcBorders>
              <w:top w:val="single" w:color="auto" w:sz="4" w:space="0"/>
              <w:left w:val="single" w:color="auto" w:sz="4" w:space="0"/>
              <w:bottom w:val="single" w:color="auto" w:sz="4" w:space="0"/>
              <w:right w:val="single" w:color="auto" w:sz="4" w:space="0"/>
            </w:tcBorders>
            <w:vAlign w:val="center"/>
          </w:tcPr>
          <w:p w14:paraId="695CFD36">
            <w:pPr>
              <w:spacing w:line="420" w:lineRule="exact"/>
              <w:ind w:left="420" w:hanging="420" w:hangingChars="200"/>
              <w:jc w:val="center"/>
              <w:rPr>
                <w:rFonts w:ascii="宋体" w:hAnsi="宋体" w:eastAsia="宋体" w:cs="宋体"/>
                <w:color w:val="000000" w:themeColor="text1"/>
                <w:szCs w:val="21"/>
              </w:rPr>
            </w:pPr>
            <w:r>
              <w:rPr>
                <w:rFonts w:hint="eastAsia" w:ascii="宋体" w:hAnsi="宋体"/>
                <w:color w:val="000000" w:themeColor="text1"/>
              </w:rPr>
              <w:t>规格（高：厘米）</w:t>
            </w:r>
          </w:p>
        </w:tc>
        <w:tc>
          <w:tcPr>
            <w:tcW w:w="2551" w:type="dxa"/>
            <w:tcBorders>
              <w:top w:val="single" w:color="auto" w:sz="4" w:space="0"/>
              <w:left w:val="single" w:color="auto" w:sz="4" w:space="0"/>
              <w:bottom w:val="single" w:color="auto" w:sz="4" w:space="0"/>
              <w:right w:val="single" w:color="auto" w:sz="4" w:space="0"/>
            </w:tcBorders>
            <w:vAlign w:val="center"/>
          </w:tcPr>
          <w:p w14:paraId="25486305">
            <w:pPr>
              <w:spacing w:line="420" w:lineRule="exact"/>
              <w:jc w:val="center"/>
              <w:rPr>
                <w:rFonts w:ascii="宋体" w:hAnsi="宋体" w:eastAsia="宋体" w:cs="宋体"/>
                <w:color w:val="000000" w:themeColor="text1"/>
                <w:szCs w:val="21"/>
              </w:rPr>
            </w:pPr>
            <w:r>
              <w:rPr>
                <w:rFonts w:hint="eastAsia" w:ascii="宋体" w:hAnsi="宋体"/>
                <w:color w:val="000000" w:themeColor="text1"/>
              </w:rPr>
              <w:t>数量（单位：株）</w:t>
            </w:r>
          </w:p>
        </w:tc>
      </w:tr>
      <w:tr w14:paraId="49AE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06" w:type="dxa"/>
            <w:tcBorders>
              <w:top w:val="single" w:color="auto" w:sz="4" w:space="0"/>
              <w:left w:val="single" w:color="auto" w:sz="4" w:space="0"/>
              <w:bottom w:val="single" w:color="auto" w:sz="4" w:space="0"/>
              <w:right w:val="single" w:color="auto" w:sz="4" w:space="0"/>
            </w:tcBorders>
          </w:tcPr>
          <w:p w14:paraId="56502096">
            <w:pPr>
              <w:spacing w:line="420" w:lineRule="exact"/>
              <w:jc w:val="center"/>
              <w:rPr>
                <w:rFonts w:ascii="宋体" w:hAnsi="宋体" w:eastAsia="宋体" w:cs="宋体"/>
                <w:color w:val="000000" w:themeColor="text1"/>
                <w:szCs w:val="21"/>
              </w:rPr>
            </w:pPr>
            <w:r>
              <w:rPr>
                <w:rFonts w:hint="eastAsia" w:ascii="宋体" w:hAnsi="宋体"/>
                <w:color w:val="000000" w:themeColor="text1"/>
              </w:rPr>
              <w:t>1</w:t>
            </w:r>
          </w:p>
        </w:tc>
        <w:tc>
          <w:tcPr>
            <w:tcW w:w="1842" w:type="dxa"/>
            <w:tcBorders>
              <w:top w:val="single" w:color="auto" w:sz="4" w:space="0"/>
              <w:left w:val="single" w:color="auto" w:sz="4" w:space="0"/>
              <w:bottom w:val="single" w:color="auto" w:sz="4" w:space="0"/>
              <w:right w:val="single" w:color="auto" w:sz="4" w:space="0"/>
            </w:tcBorders>
          </w:tcPr>
          <w:p w14:paraId="535B12BC">
            <w:pPr>
              <w:spacing w:line="420" w:lineRule="exact"/>
              <w:jc w:val="center"/>
              <w:rPr>
                <w:rFonts w:ascii="宋体" w:hAnsi="宋体" w:eastAsia="宋体" w:cs="宋体"/>
                <w:color w:val="000000" w:themeColor="text1"/>
                <w:szCs w:val="21"/>
              </w:rPr>
            </w:pPr>
            <w:r>
              <w:rPr>
                <w:rFonts w:hint="eastAsia" w:ascii="宋体" w:hAnsi="宋体"/>
                <w:color w:val="000000" w:themeColor="text1"/>
              </w:rPr>
              <w:t>幸福树</w:t>
            </w:r>
          </w:p>
        </w:tc>
        <w:tc>
          <w:tcPr>
            <w:tcW w:w="2098" w:type="dxa"/>
            <w:tcBorders>
              <w:top w:val="single" w:color="auto" w:sz="4" w:space="0"/>
              <w:left w:val="single" w:color="auto" w:sz="4" w:space="0"/>
              <w:bottom w:val="single" w:color="auto" w:sz="4" w:space="0"/>
              <w:right w:val="single" w:color="auto" w:sz="4" w:space="0"/>
            </w:tcBorders>
          </w:tcPr>
          <w:p w14:paraId="0C1B77CE">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1CAACEEA">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r>
      <w:tr w14:paraId="6B2A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10BA1590">
            <w:pPr>
              <w:spacing w:line="420" w:lineRule="exact"/>
              <w:jc w:val="center"/>
              <w:rPr>
                <w:rFonts w:ascii="宋体" w:hAnsi="宋体" w:eastAsia="宋体" w:cs="宋体"/>
                <w:color w:val="000000" w:themeColor="text1"/>
                <w:szCs w:val="21"/>
              </w:rPr>
            </w:pPr>
            <w:r>
              <w:rPr>
                <w:rFonts w:hint="eastAsia" w:ascii="宋体" w:hAnsi="宋体"/>
                <w:color w:val="000000" w:themeColor="text1"/>
              </w:rPr>
              <w:t>2</w:t>
            </w:r>
          </w:p>
        </w:tc>
        <w:tc>
          <w:tcPr>
            <w:tcW w:w="1842" w:type="dxa"/>
            <w:tcBorders>
              <w:top w:val="single" w:color="auto" w:sz="4" w:space="0"/>
              <w:left w:val="single" w:color="auto" w:sz="4" w:space="0"/>
              <w:bottom w:val="single" w:color="auto" w:sz="4" w:space="0"/>
              <w:right w:val="single" w:color="auto" w:sz="4" w:space="0"/>
            </w:tcBorders>
          </w:tcPr>
          <w:p w14:paraId="0ADDE3BA">
            <w:pPr>
              <w:spacing w:line="420" w:lineRule="exact"/>
              <w:jc w:val="center"/>
              <w:rPr>
                <w:rFonts w:ascii="宋体" w:hAnsi="宋体" w:eastAsia="宋体" w:cs="宋体"/>
                <w:color w:val="000000" w:themeColor="text1"/>
                <w:szCs w:val="21"/>
              </w:rPr>
            </w:pPr>
            <w:r>
              <w:rPr>
                <w:rFonts w:hint="eastAsia" w:ascii="宋体" w:hAnsi="宋体"/>
                <w:color w:val="000000" w:themeColor="text1"/>
              </w:rPr>
              <w:t>绿萝</w:t>
            </w:r>
          </w:p>
        </w:tc>
        <w:tc>
          <w:tcPr>
            <w:tcW w:w="2098" w:type="dxa"/>
            <w:tcBorders>
              <w:top w:val="single" w:color="auto" w:sz="4" w:space="0"/>
              <w:left w:val="single" w:color="auto" w:sz="4" w:space="0"/>
              <w:bottom w:val="single" w:color="auto" w:sz="4" w:space="0"/>
              <w:right w:val="single" w:color="auto" w:sz="4" w:space="0"/>
            </w:tcBorders>
          </w:tcPr>
          <w:p w14:paraId="470FC2CE">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5940CD07">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r>
      <w:tr w14:paraId="6B3C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471328DD">
            <w:pPr>
              <w:spacing w:line="420" w:lineRule="exact"/>
              <w:jc w:val="center"/>
              <w:rPr>
                <w:rFonts w:ascii="宋体" w:hAnsi="宋体" w:eastAsia="宋体" w:cs="宋体"/>
                <w:color w:val="000000" w:themeColor="text1"/>
                <w:szCs w:val="21"/>
              </w:rPr>
            </w:pPr>
            <w:r>
              <w:rPr>
                <w:rFonts w:hint="eastAsia" w:ascii="宋体" w:hAnsi="宋体"/>
                <w:color w:val="000000" w:themeColor="text1"/>
              </w:rPr>
              <w:t>3</w:t>
            </w:r>
          </w:p>
        </w:tc>
        <w:tc>
          <w:tcPr>
            <w:tcW w:w="1842" w:type="dxa"/>
            <w:tcBorders>
              <w:top w:val="single" w:color="auto" w:sz="4" w:space="0"/>
              <w:left w:val="single" w:color="auto" w:sz="4" w:space="0"/>
              <w:bottom w:val="single" w:color="auto" w:sz="4" w:space="0"/>
              <w:right w:val="single" w:color="auto" w:sz="4" w:space="0"/>
            </w:tcBorders>
          </w:tcPr>
          <w:p w14:paraId="1D23A9D3">
            <w:pPr>
              <w:spacing w:line="420" w:lineRule="exact"/>
              <w:jc w:val="center"/>
              <w:rPr>
                <w:rFonts w:ascii="宋体" w:hAnsi="宋体" w:eastAsia="宋体" w:cs="宋体"/>
                <w:color w:val="000000" w:themeColor="text1"/>
                <w:szCs w:val="21"/>
              </w:rPr>
            </w:pPr>
            <w:r>
              <w:rPr>
                <w:rFonts w:hint="eastAsia" w:ascii="宋体" w:hAnsi="宋体"/>
                <w:color w:val="000000" w:themeColor="text1"/>
              </w:rPr>
              <w:t>螺纹铁</w:t>
            </w:r>
          </w:p>
        </w:tc>
        <w:tc>
          <w:tcPr>
            <w:tcW w:w="2098" w:type="dxa"/>
            <w:tcBorders>
              <w:top w:val="single" w:color="auto" w:sz="4" w:space="0"/>
              <w:left w:val="single" w:color="auto" w:sz="4" w:space="0"/>
              <w:bottom w:val="single" w:color="auto" w:sz="4" w:space="0"/>
              <w:right w:val="single" w:color="auto" w:sz="4" w:space="0"/>
            </w:tcBorders>
          </w:tcPr>
          <w:p w14:paraId="621DF7F1">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12A09FB7">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r>
      <w:tr w14:paraId="67F6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31F9114B">
            <w:pPr>
              <w:spacing w:line="420" w:lineRule="exact"/>
              <w:jc w:val="center"/>
              <w:rPr>
                <w:rFonts w:ascii="宋体" w:hAnsi="宋体" w:eastAsia="宋体" w:cs="宋体"/>
                <w:color w:val="000000" w:themeColor="text1"/>
                <w:szCs w:val="21"/>
              </w:rPr>
            </w:pPr>
            <w:r>
              <w:rPr>
                <w:rFonts w:hint="eastAsia" w:ascii="宋体" w:hAnsi="宋体"/>
                <w:color w:val="000000" w:themeColor="text1"/>
              </w:rPr>
              <w:t>4</w:t>
            </w:r>
          </w:p>
        </w:tc>
        <w:tc>
          <w:tcPr>
            <w:tcW w:w="1842" w:type="dxa"/>
            <w:tcBorders>
              <w:top w:val="single" w:color="auto" w:sz="4" w:space="0"/>
              <w:left w:val="single" w:color="auto" w:sz="4" w:space="0"/>
              <w:bottom w:val="single" w:color="auto" w:sz="4" w:space="0"/>
              <w:right w:val="single" w:color="auto" w:sz="4" w:space="0"/>
            </w:tcBorders>
          </w:tcPr>
          <w:p w14:paraId="77298479">
            <w:pPr>
              <w:spacing w:line="420" w:lineRule="exact"/>
              <w:jc w:val="center"/>
              <w:rPr>
                <w:rFonts w:ascii="宋体" w:hAnsi="宋体" w:eastAsia="宋体" w:cs="宋体"/>
                <w:color w:val="000000" w:themeColor="text1"/>
                <w:szCs w:val="21"/>
              </w:rPr>
            </w:pPr>
            <w:r>
              <w:rPr>
                <w:rFonts w:hint="eastAsia" w:ascii="宋体" w:hAnsi="宋体"/>
                <w:color w:val="000000" w:themeColor="text1"/>
              </w:rPr>
              <w:t>发财树</w:t>
            </w:r>
          </w:p>
        </w:tc>
        <w:tc>
          <w:tcPr>
            <w:tcW w:w="2098" w:type="dxa"/>
            <w:tcBorders>
              <w:top w:val="single" w:color="auto" w:sz="4" w:space="0"/>
              <w:left w:val="single" w:color="auto" w:sz="4" w:space="0"/>
              <w:bottom w:val="single" w:color="auto" w:sz="4" w:space="0"/>
              <w:right w:val="single" w:color="auto" w:sz="4" w:space="0"/>
            </w:tcBorders>
          </w:tcPr>
          <w:p w14:paraId="556CA668">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4808AA03">
            <w:pPr>
              <w:spacing w:line="420" w:lineRule="exact"/>
              <w:jc w:val="center"/>
              <w:rPr>
                <w:rFonts w:ascii="宋体" w:hAnsi="宋体" w:eastAsia="宋体" w:cs="宋体"/>
                <w:color w:val="000000" w:themeColor="text1"/>
                <w:szCs w:val="21"/>
              </w:rPr>
            </w:pPr>
            <w:r>
              <w:rPr>
                <w:rFonts w:hint="eastAsia" w:ascii="宋体" w:hAnsi="宋体"/>
                <w:color w:val="000000" w:themeColor="text1"/>
              </w:rPr>
              <w:t>2</w:t>
            </w:r>
          </w:p>
        </w:tc>
      </w:tr>
      <w:tr w14:paraId="5DD3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623F8BF5">
            <w:pPr>
              <w:spacing w:line="420" w:lineRule="exact"/>
              <w:jc w:val="center"/>
              <w:rPr>
                <w:rFonts w:ascii="宋体" w:hAnsi="宋体" w:eastAsia="宋体" w:cs="宋体"/>
                <w:color w:val="000000" w:themeColor="text1"/>
                <w:szCs w:val="21"/>
              </w:rPr>
            </w:pPr>
            <w:r>
              <w:rPr>
                <w:rFonts w:hint="eastAsia" w:ascii="宋体" w:hAnsi="宋体"/>
                <w:color w:val="000000" w:themeColor="text1"/>
              </w:rPr>
              <w:t>5</w:t>
            </w:r>
          </w:p>
        </w:tc>
        <w:tc>
          <w:tcPr>
            <w:tcW w:w="1842" w:type="dxa"/>
            <w:tcBorders>
              <w:top w:val="single" w:color="auto" w:sz="4" w:space="0"/>
              <w:left w:val="single" w:color="auto" w:sz="4" w:space="0"/>
              <w:bottom w:val="single" w:color="auto" w:sz="4" w:space="0"/>
              <w:right w:val="single" w:color="auto" w:sz="4" w:space="0"/>
            </w:tcBorders>
          </w:tcPr>
          <w:p w14:paraId="2493E6CD">
            <w:pPr>
              <w:spacing w:line="420" w:lineRule="exact"/>
              <w:jc w:val="center"/>
              <w:rPr>
                <w:rFonts w:ascii="宋体" w:hAnsi="宋体" w:eastAsia="宋体" w:cs="宋体"/>
                <w:color w:val="000000" w:themeColor="text1"/>
                <w:szCs w:val="21"/>
              </w:rPr>
            </w:pPr>
            <w:r>
              <w:rPr>
                <w:rFonts w:hint="eastAsia" w:ascii="宋体" w:hAnsi="宋体"/>
                <w:color w:val="000000" w:themeColor="text1"/>
              </w:rPr>
              <w:t>绿萝</w:t>
            </w:r>
          </w:p>
        </w:tc>
        <w:tc>
          <w:tcPr>
            <w:tcW w:w="2098" w:type="dxa"/>
            <w:tcBorders>
              <w:top w:val="single" w:color="auto" w:sz="4" w:space="0"/>
              <w:left w:val="single" w:color="auto" w:sz="4" w:space="0"/>
              <w:bottom w:val="single" w:color="auto" w:sz="4" w:space="0"/>
              <w:right w:val="single" w:color="auto" w:sz="4" w:space="0"/>
            </w:tcBorders>
          </w:tcPr>
          <w:p w14:paraId="455E69FC">
            <w:pPr>
              <w:spacing w:line="420" w:lineRule="exact"/>
              <w:jc w:val="center"/>
              <w:rPr>
                <w:rFonts w:ascii="宋体" w:hAnsi="宋体" w:eastAsia="宋体" w:cs="宋体"/>
                <w:color w:val="000000" w:themeColor="text1"/>
                <w:szCs w:val="21"/>
              </w:rPr>
            </w:pPr>
            <w:r>
              <w:rPr>
                <w:rFonts w:hint="eastAsia" w:ascii="宋体" w:hAnsi="宋体"/>
                <w:color w:val="000000" w:themeColor="text1"/>
              </w:rPr>
              <w:t>25</w:t>
            </w:r>
          </w:p>
        </w:tc>
        <w:tc>
          <w:tcPr>
            <w:tcW w:w="2551" w:type="dxa"/>
            <w:tcBorders>
              <w:top w:val="single" w:color="auto" w:sz="4" w:space="0"/>
              <w:left w:val="single" w:color="auto" w:sz="4" w:space="0"/>
              <w:bottom w:val="single" w:color="auto" w:sz="4" w:space="0"/>
              <w:right w:val="single" w:color="auto" w:sz="4" w:space="0"/>
            </w:tcBorders>
          </w:tcPr>
          <w:p w14:paraId="6E9C2F82">
            <w:pPr>
              <w:spacing w:line="420" w:lineRule="exact"/>
              <w:jc w:val="center"/>
              <w:rPr>
                <w:rFonts w:ascii="宋体" w:hAnsi="宋体" w:eastAsia="宋体" w:cs="宋体"/>
                <w:color w:val="000000" w:themeColor="text1"/>
                <w:szCs w:val="21"/>
              </w:rPr>
            </w:pPr>
            <w:r>
              <w:rPr>
                <w:rFonts w:hint="eastAsia" w:ascii="宋体" w:hAnsi="宋体"/>
                <w:color w:val="000000" w:themeColor="text1"/>
              </w:rPr>
              <w:t>30</w:t>
            </w:r>
          </w:p>
        </w:tc>
      </w:tr>
      <w:tr w14:paraId="2EF7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01FBD51C">
            <w:pPr>
              <w:spacing w:line="420" w:lineRule="exact"/>
              <w:jc w:val="center"/>
              <w:rPr>
                <w:rFonts w:ascii="宋体" w:hAnsi="宋体" w:eastAsia="宋体" w:cs="宋体"/>
                <w:color w:val="000000" w:themeColor="text1"/>
                <w:szCs w:val="21"/>
              </w:rPr>
            </w:pPr>
            <w:r>
              <w:rPr>
                <w:rFonts w:hint="eastAsia" w:ascii="宋体" w:hAnsi="宋体"/>
                <w:color w:val="000000" w:themeColor="text1"/>
              </w:rPr>
              <w:t>6</w:t>
            </w:r>
          </w:p>
        </w:tc>
        <w:tc>
          <w:tcPr>
            <w:tcW w:w="1842" w:type="dxa"/>
            <w:tcBorders>
              <w:top w:val="single" w:color="auto" w:sz="4" w:space="0"/>
              <w:left w:val="single" w:color="auto" w:sz="4" w:space="0"/>
              <w:bottom w:val="single" w:color="auto" w:sz="4" w:space="0"/>
              <w:right w:val="single" w:color="auto" w:sz="4" w:space="0"/>
            </w:tcBorders>
          </w:tcPr>
          <w:p w14:paraId="02224B59">
            <w:pPr>
              <w:spacing w:line="420" w:lineRule="exact"/>
              <w:jc w:val="center"/>
              <w:rPr>
                <w:rFonts w:ascii="宋体" w:hAnsi="宋体" w:eastAsia="宋体" w:cs="宋体"/>
                <w:color w:val="000000" w:themeColor="text1"/>
                <w:szCs w:val="21"/>
              </w:rPr>
            </w:pPr>
            <w:r>
              <w:rPr>
                <w:rFonts w:hint="eastAsia" w:ascii="宋体" w:hAnsi="宋体"/>
                <w:color w:val="000000" w:themeColor="text1"/>
              </w:rPr>
              <w:t>心叶藤</w:t>
            </w:r>
          </w:p>
        </w:tc>
        <w:tc>
          <w:tcPr>
            <w:tcW w:w="2098" w:type="dxa"/>
            <w:tcBorders>
              <w:top w:val="single" w:color="auto" w:sz="4" w:space="0"/>
              <w:left w:val="single" w:color="auto" w:sz="4" w:space="0"/>
              <w:bottom w:val="single" w:color="auto" w:sz="4" w:space="0"/>
              <w:right w:val="single" w:color="auto" w:sz="4" w:space="0"/>
            </w:tcBorders>
          </w:tcPr>
          <w:p w14:paraId="09ADAC94">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608D114C">
            <w:pPr>
              <w:spacing w:line="420" w:lineRule="exact"/>
              <w:jc w:val="center"/>
              <w:rPr>
                <w:rFonts w:ascii="宋体" w:hAnsi="宋体" w:eastAsia="宋体" w:cs="宋体"/>
                <w:color w:val="000000" w:themeColor="text1"/>
                <w:szCs w:val="21"/>
              </w:rPr>
            </w:pPr>
            <w:r>
              <w:rPr>
                <w:rFonts w:hint="eastAsia" w:ascii="宋体" w:hAnsi="宋体"/>
                <w:color w:val="000000" w:themeColor="text1"/>
              </w:rPr>
              <w:t>2</w:t>
            </w:r>
          </w:p>
        </w:tc>
      </w:tr>
      <w:tr w14:paraId="269C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7CCBE685">
            <w:pPr>
              <w:spacing w:line="420" w:lineRule="exact"/>
              <w:jc w:val="center"/>
              <w:rPr>
                <w:rFonts w:ascii="宋体" w:hAnsi="宋体" w:eastAsia="宋体" w:cs="宋体"/>
                <w:color w:val="000000" w:themeColor="text1"/>
                <w:szCs w:val="21"/>
              </w:rPr>
            </w:pPr>
            <w:r>
              <w:rPr>
                <w:rFonts w:hint="eastAsia" w:ascii="宋体" w:hAnsi="宋体"/>
                <w:color w:val="000000" w:themeColor="text1"/>
              </w:rPr>
              <w:t>7</w:t>
            </w:r>
          </w:p>
        </w:tc>
        <w:tc>
          <w:tcPr>
            <w:tcW w:w="1842" w:type="dxa"/>
            <w:tcBorders>
              <w:top w:val="single" w:color="auto" w:sz="4" w:space="0"/>
              <w:left w:val="single" w:color="auto" w:sz="4" w:space="0"/>
              <w:bottom w:val="single" w:color="auto" w:sz="4" w:space="0"/>
              <w:right w:val="single" w:color="auto" w:sz="4" w:space="0"/>
            </w:tcBorders>
          </w:tcPr>
          <w:p w14:paraId="5A1705C1">
            <w:pPr>
              <w:spacing w:line="420" w:lineRule="exact"/>
              <w:jc w:val="center"/>
              <w:rPr>
                <w:rFonts w:ascii="宋体" w:hAnsi="宋体" w:eastAsia="宋体" w:cs="宋体"/>
                <w:color w:val="000000" w:themeColor="text1"/>
                <w:szCs w:val="21"/>
              </w:rPr>
            </w:pPr>
            <w:r>
              <w:rPr>
                <w:rFonts w:hint="eastAsia" w:ascii="宋体" w:hAnsi="宋体"/>
                <w:color w:val="000000" w:themeColor="text1"/>
              </w:rPr>
              <w:t>夏威夷椰子</w:t>
            </w:r>
          </w:p>
        </w:tc>
        <w:tc>
          <w:tcPr>
            <w:tcW w:w="2098" w:type="dxa"/>
            <w:tcBorders>
              <w:top w:val="single" w:color="auto" w:sz="4" w:space="0"/>
              <w:left w:val="single" w:color="auto" w:sz="4" w:space="0"/>
              <w:bottom w:val="single" w:color="auto" w:sz="4" w:space="0"/>
              <w:right w:val="single" w:color="auto" w:sz="4" w:space="0"/>
            </w:tcBorders>
          </w:tcPr>
          <w:p w14:paraId="0FF39A9D">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6FEE813F">
            <w:pPr>
              <w:spacing w:line="420" w:lineRule="exact"/>
              <w:jc w:val="center"/>
              <w:rPr>
                <w:rFonts w:ascii="宋体" w:hAnsi="宋体" w:eastAsia="宋体" w:cs="宋体"/>
                <w:color w:val="000000" w:themeColor="text1"/>
                <w:szCs w:val="21"/>
              </w:rPr>
            </w:pPr>
            <w:r>
              <w:rPr>
                <w:rFonts w:hint="eastAsia" w:ascii="宋体" w:hAnsi="宋体"/>
                <w:color w:val="000000" w:themeColor="text1"/>
              </w:rPr>
              <w:t>36</w:t>
            </w:r>
          </w:p>
        </w:tc>
      </w:tr>
      <w:tr w14:paraId="7E98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7DD215AB">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c>
          <w:tcPr>
            <w:tcW w:w="1842" w:type="dxa"/>
            <w:tcBorders>
              <w:top w:val="single" w:color="auto" w:sz="4" w:space="0"/>
              <w:left w:val="single" w:color="auto" w:sz="4" w:space="0"/>
              <w:bottom w:val="single" w:color="auto" w:sz="4" w:space="0"/>
              <w:right w:val="single" w:color="auto" w:sz="4" w:space="0"/>
            </w:tcBorders>
          </w:tcPr>
          <w:p w14:paraId="7FAA63D3">
            <w:pPr>
              <w:spacing w:line="420" w:lineRule="exact"/>
              <w:jc w:val="center"/>
              <w:rPr>
                <w:rFonts w:ascii="宋体" w:hAnsi="宋体" w:eastAsia="宋体" w:cs="宋体"/>
                <w:color w:val="000000" w:themeColor="text1"/>
                <w:szCs w:val="21"/>
              </w:rPr>
            </w:pPr>
            <w:r>
              <w:rPr>
                <w:rFonts w:hint="eastAsia" w:ascii="宋体" w:hAnsi="宋体"/>
                <w:color w:val="000000" w:themeColor="text1"/>
              </w:rPr>
              <w:t>橡皮树</w:t>
            </w:r>
          </w:p>
        </w:tc>
        <w:tc>
          <w:tcPr>
            <w:tcW w:w="2098" w:type="dxa"/>
            <w:tcBorders>
              <w:top w:val="single" w:color="auto" w:sz="4" w:space="0"/>
              <w:left w:val="single" w:color="auto" w:sz="4" w:space="0"/>
              <w:bottom w:val="single" w:color="auto" w:sz="4" w:space="0"/>
              <w:right w:val="single" w:color="auto" w:sz="4" w:space="0"/>
            </w:tcBorders>
          </w:tcPr>
          <w:p w14:paraId="6D265C25">
            <w:pPr>
              <w:spacing w:line="420" w:lineRule="exact"/>
              <w:jc w:val="center"/>
              <w:rPr>
                <w:rFonts w:ascii="宋体" w:hAnsi="宋体" w:eastAsia="宋体" w:cs="宋体"/>
                <w:color w:val="000000" w:themeColor="text1"/>
                <w:szCs w:val="21"/>
              </w:rPr>
            </w:pPr>
            <w:r>
              <w:rPr>
                <w:rFonts w:hint="eastAsia" w:ascii="宋体" w:hAnsi="宋体"/>
                <w:color w:val="000000" w:themeColor="text1"/>
              </w:rPr>
              <w:t>90</w:t>
            </w:r>
          </w:p>
        </w:tc>
        <w:tc>
          <w:tcPr>
            <w:tcW w:w="2551" w:type="dxa"/>
            <w:tcBorders>
              <w:top w:val="single" w:color="auto" w:sz="4" w:space="0"/>
              <w:left w:val="single" w:color="auto" w:sz="4" w:space="0"/>
              <w:bottom w:val="single" w:color="auto" w:sz="4" w:space="0"/>
              <w:right w:val="single" w:color="auto" w:sz="4" w:space="0"/>
            </w:tcBorders>
          </w:tcPr>
          <w:p w14:paraId="5C3D9607">
            <w:pPr>
              <w:spacing w:line="420" w:lineRule="exact"/>
              <w:jc w:val="center"/>
              <w:rPr>
                <w:rFonts w:ascii="宋体" w:hAnsi="宋体" w:eastAsia="宋体" w:cs="宋体"/>
                <w:color w:val="000000" w:themeColor="text1"/>
                <w:szCs w:val="21"/>
              </w:rPr>
            </w:pPr>
            <w:r>
              <w:rPr>
                <w:rFonts w:hint="eastAsia" w:ascii="宋体" w:hAnsi="宋体"/>
                <w:color w:val="000000" w:themeColor="text1"/>
              </w:rPr>
              <w:t>22</w:t>
            </w:r>
          </w:p>
        </w:tc>
      </w:tr>
      <w:tr w14:paraId="17C8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09D6533C">
            <w:pPr>
              <w:spacing w:line="420" w:lineRule="exact"/>
              <w:jc w:val="center"/>
              <w:rPr>
                <w:rFonts w:ascii="宋体" w:hAnsi="宋体" w:eastAsia="宋体" w:cs="宋体"/>
                <w:color w:val="000000" w:themeColor="text1"/>
                <w:szCs w:val="21"/>
              </w:rPr>
            </w:pPr>
            <w:r>
              <w:rPr>
                <w:rFonts w:hint="eastAsia" w:ascii="宋体" w:hAnsi="宋体"/>
                <w:color w:val="000000" w:themeColor="text1"/>
              </w:rPr>
              <w:t>9</w:t>
            </w:r>
          </w:p>
        </w:tc>
        <w:tc>
          <w:tcPr>
            <w:tcW w:w="1842" w:type="dxa"/>
            <w:tcBorders>
              <w:top w:val="single" w:color="auto" w:sz="4" w:space="0"/>
              <w:left w:val="single" w:color="auto" w:sz="4" w:space="0"/>
              <w:bottom w:val="single" w:color="auto" w:sz="4" w:space="0"/>
              <w:right w:val="single" w:color="auto" w:sz="4" w:space="0"/>
            </w:tcBorders>
          </w:tcPr>
          <w:p w14:paraId="6AE9D775">
            <w:pPr>
              <w:spacing w:line="420" w:lineRule="exact"/>
              <w:jc w:val="center"/>
              <w:rPr>
                <w:rFonts w:ascii="宋体" w:hAnsi="宋体" w:eastAsia="宋体" w:cs="宋体"/>
                <w:color w:val="000000" w:themeColor="text1"/>
                <w:szCs w:val="21"/>
              </w:rPr>
            </w:pPr>
            <w:r>
              <w:rPr>
                <w:rFonts w:hint="eastAsia" w:ascii="宋体" w:hAnsi="宋体"/>
                <w:color w:val="000000" w:themeColor="text1"/>
              </w:rPr>
              <w:t>杜鹃</w:t>
            </w:r>
          </w:p>
        </w:tc>
        <w:tc>
          <w:tcPr>
            <w:tcW w:w="2098" w:type="dxa"/>
            <w:tcBorders>
              <w:top w:val="single" w:color="auto" w:sz="4" w:space="0"/>
              <w:left w:val="single" w:color="auto" w:sz="4" w:space="0"/>
              <w:bottom w:val="single" w:color="auto" w:sz="4" w:space="0"/>
              <w:right w:val="single" w:color="auto" w:sz="4" w:space="0"/>
            </w:tcBorders>
          </w:tcPr>
          <w:p w14:paraId="0B0FFC01">
            <w:pPr>
              <w:spacing w:line="420" w:lineRule="exact"/>
              <w:jc w:val="center"/>
              <w:rPr>
                <w:rFonts w:ascii="宋体" w:hAnsi="宋体" w:eastAsia="宋体" w:cs="宋体"/>
                <w:color w:val="000000" w:themeColor="text1"/>
                <w:szCs w:val="21"/>
              </w:rPr>
            </w:pPr>
            <w:r>
              <w:rPr>
                <w:rFonts w:hint="eastAsia" w:ascii="宋体" w:hAnsi="宋体"/>
                <w:color w:val="000000" w:themeColor="text1"/>
              </w:rPr>
              <w:t>35</w:t>
            </w:r>
          </w:p>
        </w:tc>
        <w:tc>
          <w:tcPr>
            <w:tcW w:w="2551" w:type="dxa"/>
            <w:tcBorders>
              <w:top w:val="single" w:color="auto" w:sz="4" w:space="0"/>
              <w:left w:val="single" w:color="auto" w:sz="4" w:space="0"/>
              <w:bottom w:val="single" w:color="auto" w:sz="4" w:space="0"/>
              <w:right w:val="single" w:color="auto" w:sz="4" w:space="0"/>
            </w:tcBorders>
          </w:tcPr>
          <w:p w14:paraId="466F5A33">
            <w:pPr>
              <w:spacing w:line="420" w:lineRule="exact"/>
              <w:jc w:val="center"/>
              <w:rPr>
                <w:rFonts w:ascii="宋体" w:hAnsi="宋体" w:eastAsia="宋体" w:cs="宋体"/>
                <w:color w:val="000000" w:themeColor="text1"/>
                <w:szCs w:val="21"/>
              </w:rPr>
            </w:pPr>
            <w:r>
              <w:rPr>
                <w:rFonts w:hint="eastAsia" w:ascii="宋体" w:hAnsi="宋体"/>
                <w:color w:val="000000" w:themeColor="text1"/>
              </w:rPr>
              <w:t>48</w:t>
            </w:r>
          </w:p>
        </w:tc>
      </w:tr>
      <w:tr w14:paraId="5248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18E5404C">
            <w:pPr>
              <w:spacing w:line="420" w:lineRule="exact"/>
              <w:jc w:val="center"/>
              <w:rPr>
                <w:rFonts w:ascii="宋体" w:hAnsi="宋体" w:eastAsia="宋体" w:cs="宋体"/>
                <w:color w:val="000000" w:themeColor="text1"/>
                <w:szCs w:val="21"/>
              </w:rPr>
            </w:pPr>
            <w:r>
              <w:rPr>
                <w:rFonts w:hint="eastAsia" w:ascii="宋体" w:hAnsi="宋体"/>
                <w:color w:val="000000" w:themeColor="text1"/>
              </w:rPr>
              <w:t>10</w:t>
            </w:r>
          </w:p>
        </w:tc>
        <w:tc>
          <w:tcPr>
            <w:tcW w:w="1842" w:type="dxa"/>
            <w:tcBorders>
              <w:top w:val="single" w:color="auto" w:sz="4" w:space="0"/>
              <w:left w:val="single" w:color="auto" w:sz="4" w:space="0"/>
              <w:bottom w:val="single" w:color="auto" w:sz="4" w:space="0"/>
              <w:right w:val="single" w:color="auto" w:sz="4" w:space="0"/>
            </w:tcBorders>
          </w:tcPr>
          <w:p w14:paraId="26302DE5">
            <w:pPr>
              <w:spacing w:line="420" w:lineRule="exact"/>
              <w:jc w:val="center"/>
              <w:rPr>
                <w:rFonts w:ascii="宋体" w:hAnsi="宋体" w:eastAsia="宋体" w:cs="宋体"/>
                <w:color w:val="000000" w:themeColor="text1"/>
                <w:szCs w:val="21"/>
              </w:rPr>
            </w:pPr>
            <w:r>
              <w:rPr>
                <w:rFonts w:hint="eastAsia" w:ascii="宋体" w:hAnsi="宋体"/>
                <w:color w:val="000000" w:themeColor="text1"/>
              </w:rPr>
              <w:t>红星凤梨</w:t>
            </w:r>
          </w:p>
        </w:tc>
        <w:tc>
          <w:tcPr>
            <w:tcW w:w="2098" w:type="dxa"/>
            <w:tcBorders>
              <w:top w:val="single" w:color="auto" w:sz="4" w:space="0"/>
              <w:left w:val="single" w:color="auto" w:sz="4" w:space="0"/>
              <w:bottom w:val="single" w:color="auto" w:sz="4" w:space="0"/>
              <w:right w:val="single" w:color="auto" w:sz="4" w:space="0"/>
            </w:tcBorders>
          </w:tcPr>
          <w:p w14:paraId="51D2B532">
            <w:pPr>
              <w:spacing w:line="420" w:lineRule="exact"/>
              <w:jc w:val="center"/>
              <w:rPr>
                <w:rFonts w:ascii="宋体" w:hAnsi="宋体" w:eastAsia="宋体" w:cs="宋体"/>
                <w:color w:val="000000" w:themeColor="text1"/>
                <w:szCs w:val="21"/>
              </w:rPr>
            </w:pPr>
            <w:r>
              <w:rPr>
                <w:rFonts w:hint="eastAsia" w:ascii="宋体" w:hAnsi="宋体"/>
                <w:color w:val="000000" w:themeColor="text1"/>
              </w:rPr>
              <w:t>35</w:t>
            </w:r>
          </w:p>
        </w:tc>
        <w:tc>
          <w:tcPr>
            <w:tcW w:w="2551" w:type="dxa"/>
            <w:tcBorders>
              <w:top w:val="single" w:color="auto" w:sz="4" w:space="0"/>
              <w:left w:val="single" w:color="auto" w:sz="4" w:space="0"/>
              <w:bottom w:val="single" w:color="auto" w:sz="4" w:space="0"/>
              <w:right w:val="single" w:color="auto" w:sz="4" w:space="0"/>
            </w:tcBorders>
          </w:tcPr>
          <w:p w14:paraId="57F98AE0">
            <w:pPr>
              <w:spacing w:line="420" w:lineRule="exact"/>
              <w:jc w:val="center"/>
              <w:rPr>
                <w:rFonts w:ascii="宋体" w:hAnsi="宋体" w:eastAsia="宋体" w:cs="宋体"/>
                <w:color w:val="000000" w:themeColor="text1"/>
                <w:szCs w:val="21"/>
              </w:rPr>
            </w:pPr>
            <w:r>
              <w:rPr>
                <w:rFonts w:hint="eastAsia" w:ascii="宋体" w:hAnsi="宋体"/>
                <w:color w:val="000000" w:themeColor="text1"/>
              </w:rPr>
              <w:t>56</w:t>
            </w:r>
          </w:p>
        </w:tc>
      </w:tr>
      <w:tr w14:paraId="5761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14:paraId="2FD940D3">
            <w:pPr>
              <w:spacing w:line="420" w:lineRule="exact"/>
              <w:jc w:val="center"/>
              <w:rPr>
                <w:rFonts w:ascii="宋体" w:hAnsi="宋体" w:eastAsia="宋体" w:cs="宋体"/>
                <w:color w:val="000000" w:themeColor="text1"/>
                <w:szCs w:val="21"/>
              </w:rPr>
            </w:pPr>
            <w:r>
              <w:rPr>
                <w:rFonts w:hint="eastAsia" w:ascii="宋体" w:hAnsi="宋体"/>
                <w:color w:val="000000" w:themeColor="text1"/>
              </w:rPr>
              <w:t>11</w:t>
            </w:r>
          </w:p>
        </w:tc>
        <w:tc>
          <w:tcPr>
            <w:tcW w:w="1842" w:type="dxa"/>
            <w:tcBorders>
              <w:top w:val="single" w:color="auto" w:sz="4" w:space="0"/>
              <w:left w:val="single" w:color="auto" w:sz="4" w:space="0"/>
              <w:bottom w:val="single" w:color="auto" w:sz="4" w:space="0"/>
              <w:right w:val="single" w:color="auto" w:sz="4" w:space="0"/>
            </w:tcBorders>
          </w:tcPr>
          <w:p w14:paraId="202B7EB6">
            <w:pPr>
              <w:spacing w:line="420" w:lineRule="exact"/>
              <w:jc w:val="center"/>
              <w:rPr>
                <w:rFonts w:ascii="宋体" w:hAnsi="宋体" w:eastAsia="宋体" w:cs="宋体"/>
                <w:color w:val="000000" w:themeColor="text1"/>
                <w:szCs w:val="21"/>
              </w:rPr>
            </w:pPr>
            <w:r>
              <w:rPr>
                <w:rFonts w:hint="eastAsia" w:ascii="宋体" w:hAnsi="宋体"/>
                <w:color w:val="000000" w:themeColor="text1"/>
              </w:rPr>
              <w:t>非洲茉莉</w:t>
            </w:r>
          </w:p>
        </w:tc>
        <w:tc>
          <w:tcPr>
            <w:tcW w:w="2098" w:type="dxa"/>
            <w:tcBorders>
              <w:top w:val="single" w:color="auto" w:sz="4" w:space="0"/>
              <w:left w:val="single" w:color="auto" w:sz="4" w:space="0"/>
              <w:bottom w:val="single" w:color="auto" w:sz="4" w:space="0"/>
              <w:right w:val="single" w:color="auto" w:sz="4" w:space="0"/>
            </w:tcBorders>
          </w:tcPr>
          <w:p w14:paraId="1ED5ADF4">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14:paraId="46E8600E">
            <w:pPr>
              <w:spacing w:line="420" w:lineRule="exact"/>
              <w:jc w:val="center"/>
              <w:rPr>
                <w:rFonts w:ascii="宋体" w:hAnsi="宋体" w:eastAsia="宋体" w:cs="宋体"/>
                <w:color w:val="000000" w:themeColor="text1"/>
                <w:szCs w:val="21"/>
              </w:rPr>
            </w:pPr>
            <w:r>
              <w:rPr>
                <w:rFonts w:hint="eastAsia" w:ascii="宋体" w:hAnsi="宋体"/>
                <w:color w:val="000000" w:themeColor="text1"/>
              </w:rPr>
              <w:t>4</w:t>
            </w:r>
          </w:p>
        </w:tc>
      </w:tr>
    </w:tbl>
    <w:p w14:paraId="20B3758B">
      <w:pPr>
        <w:widowControl/>
        <w:spacing w:line="360" w:lineRule="auto"/>
        <w:ind w:firstLine="480" w:firstLineChars="200"/>
        <w:textAlignment w:val="baseline"/>
        <w:rPr>
          <w:rFonts w:ascii="宋体" w:hAnsi="宋体"/>
          <w:b/>
          <w:color w:val="000000" w:themeColor="text1"/>
          <w:sz w:val="24"/>
          <w:szCs w:val="24"/>
        </w:rPr>
      </w:pPr>
      <w:bookmarkStart w:id="4" w:name="_Hlk101052126"/>
      <w:bookmarkStart w:id="5" w:name="_Hlk101715565"/>
      <w:r>
        <w:rPr>
          <w:rFonts w:hint="eastAsia" w:ascii="宋体" w:hAnsi="宋体"/>
          <w:color w:val="000000" w:themeColor="text1"/>
          <w:sz w:val="24"/>
          <w:szCs w:val="24"/>
        </w:rPr>
        <w:t>（7）</w:t>
      </w:r>
      <w:r>
        <w:rPr>
          <w:rFonts w:hint="eastAsia" w:ascii="宋体" w:hAnsi="宋体" w:cs="宋体"/>
          <w:color w:val="000000" w:themeColor="text1"/>
          <w:sz w:val="24"/>
        </w:rPr>
        <w:t>投标人应按照</w:t>
      </w:r>
      <w:bookmarkStart w:id="6" w:name="_Hlk101715943"/>
      <w:bookmarkStart w:id="7" w:name="_Hlk101051112"/>
      <w:r>
        <w:rPr>
          <w:rFonts w:hint="eastAsia" w:ascii="宋体" w:hAnsi="宋体" w:cs="宋体"/>
          <w:color w:val="000000" w:themeColor="text1"/>
          <w:sz w:val="24"/>
        </w:rPr>
        <w:t>绿化养护管理服</w:t>
      </w:r>
      <w:bookmarkEnd w:id="6"/>
      <w:r>
        <w:rPr>
          <w:rFonts w:hint="eastAsia" w:ascii="宋体" w:hAnsi="宋体" w:cs="宋体"/>
          <w:color w:val="000000" w:themeColor="text1"/>
          <w:sz w:val="24"/>
        </w:rPr>
        <w:t>务</w:t>
      </w:r>
      <w:bookmarkEnd w:id="7"/>
      <w:r>
        <w:rPr>
          <w:rFonts w:hint="eastAsia" w:ascii="宋体" w:hAnsi="宋体" w:cs="宋体"/>
          <w:color w:val="000000" w:themeColor="text1"/>
          <w:sz w:val="24"/>
        </w:rPr>
        <w:t>内容、服务要求、服务标准开展本项目绿化养护管理服务工作，</w:t>
      </w:r>
      <w:bookmarkEnd w:id="4"/>
      <w:r>
        <w:rPr>
          <w:rFonts w:hint="eastAsia" w:ascii="宋体" w:hAnsi="宋体" w:cs="宋体"/>
          <w:color w:val="000000" w:themeColor="text1"/>
          <w:sz w:val="24"/>
        </w:rPr>
        <w:t>提供绿化养护管理服务方案，方案应包含不限于人员配置及职责、管理制度、考核办法、绿化养护工作计划、绿植租摆实施方案等。</w:t>
      </w:r>
      <w:bookmarkEnd w:id="5"/>
    </w:p>
    <w:p w14:paraId="49144859">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.3 服务区域及标准</w:t>
      </w:r>
    </w:p>
    <w:p w14:paraId="5917C6E0">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1）绿化修剪：应定期进行修剪，每年草坪修剪次数8次以上，红叶石楠、小叶女贞、金叶女贞等灌木、绿篱、灌木色带、球形植物修剪6次以上，大乔、二乔及地被、木本花卉植物每年按各种不同植物的习性进行修枝剪叶。确保草坪生长繁茂、平整，球形植物生长密实、修剪圆润，灌木、色带植物生长繁茂、修剪成形、美观，草坪高度控制在5—8厘米为宜，灌木、球形植物突生枝不超过20公分，所有植物要求生长旺盛，无枯黄枝叶。</w:t>
      </w:r>
    </w:p>
    <w:p w14:paraId="0692DB73">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浇水、排水：每月检查排灌情况，保证无积水、无旱情，不得因涝、旱影响植物生长。浇水次数及浇水量应根据不同植物习性进行，夏季浇水在早晚进行，避免高温季节午间浇水，冬季浇水在中午进行，干旱季节应满足植物生长所需的水份。做好冬灌及春灌，保护和爱护绿化供水设备。</w:t>
      </w:r>
    </w:p>
    <w:p w14:paraId="5862E6D3">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3）施肥管理：每年施肥的次数为乔木、灌木1次以上，地被植物、花草、草坪各1次以上，根部所施肥料以有机肥为主，树木施肥先挖好施肥环沟，其外径与冠幅相适应。除根外施肥外，肥料不得触及树叶，施肥在睛天进行，施肥完成后应及时回填施肥沟，施肥后需要及时浇水的要及时浇水。施肥后要做好所施肥料名称、剂量及数量的记录，不能因植物缺肥或施肥过多而影响生长。</w:t>
      </w:r>
    </w:p>
    <w:p w14:paraId="3C2B95DE">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（4）杂草清除：绿地内及时清除各种杂草，确保绿地无杂草。如使用化学除草剂必须征得校方专业管理人员同意，必须保证园林植物的安全，对土壤无污染、对人体无危害，对植物无伤害。</w:t>
      </w:r>
    </w:p>
    <w:p w14:paraId="2E96309D">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5）病虫害防治：校园绿地病虫害防治应以人工防治为主，化学防治为辅。化学防治应根据植物的特性，选择对人体无害、无污染、低浓度、低残留、无气味、效果好、对植物无伤害的药物报校方专业管理人员同意方可实施。药物防治每年根据不同季节、不同植物属性和习性进行，确保校园绿地植物无病虫害症状，病虫害危害率控制在1%以内。做好深秋乔木树干涂白，涂白高度120公分，各校区内大乔和二乔木主杆及枝杆因病虫害入侵造成枯死的，物业方需及时组织人员下枝，倒树，确保校内师生及财产安全。</w:t>
      </w:r>
    </w:p>
    <w:p w14:paraId="2B3B880A">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树木养护：对整个校园绿地区域内所有树木、植物、草坪进行养护管理。乔木修剪以自然树形为主（已成形乔木须保持树形），灌木和草坪修剪应形成观赏效果，做到平立面自然、平整，无突出感、突缺感。</w:t>
      </w:r>
    </w:p>
    <w:p w14:paraId="662A17B1">
      <w:pPr>
        <w:pStyle w:val="2"/>
        <w:spacing w:line="360" w:lineRule="auto"/>
        <w:ind w:firstLine="480" w:firstLineChars="200"/>
        <w:rPr>
          <w:rFonts w:ascii="宋体" w:hAnsi="宋体"/>
          <w:color w:val="000000" w:themeColor="text1"/>
          <w:sz w:val="24"/>
        </w:rPr>
      </w:pPr>
      <w:r>
        <w:rPr>
          <w:rFonts w:hint="eastAsia" w:ascii="宋体" w:hAnsi="宋体"/>
          <w:bCs/>
          <w:color w:val="000000" w:themeColor="text1"/>
          <w:sz w:val="24"/>
        </w:rPr>
        <w:t>（7）</w:t>
      </w:r>
      <w:r>
        <w:rPr>
          <w:rFonts w:hint="eastAsia" w:ascii="宋体" w:hAnsi="宋体"/>
          <w:color w:val="000000" w:themeColor="text1"/>
          <w:sz w:val="24"/>
        </w:rPr>
        <w:t>环境卫生：负责及时清理绿地区内杂草、落叶、枯枝和杂物，并将清理物自行运至校园内指定地点，保持校园绿地干净整洁。</w:t>
      </w:r>
    </w:p>
    <w:p w14:paraId="530EBB39">
      <w:pPr>
        <w:pStyle w:val="2"/>
        <w:spacing w:line="360" w:lineRule="auto"/>
        <w:ind w:firstLine="480" w:firstLineChars="200"/>
        <w:rPr>
          <w:rFonts w:ascii="宋体" w:hAnsi="宋体"/>
          <w:color w:val="000000" w:themeColor="text1"/>
          <w:sz w:val="24"/>
        </w:rPr>
      </w:pPr>
      <w:r>
        <w:rPr>
          <w:rFonts w:hint="eastAsia" w:ascii="宋体" w:hAnsi="宋体"/>
          <w:color w:val="000000" w:themeColor="text1"/>
          <w:sz w:val="24"/>
        </w:rPr>
        <w:t>（8）及时施肥、浇水，保持土壤肥料、湿度适宜，满足绿化物生长要求，绿地植物存活率达到 98％以上。</w:t>
      </w:r>
    </w:p>
    <w:p w14:paraId="013601B0">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5</w:t>
      </w:r>
      <w:r>
        <w:rPr>
          <w:rFonts w:hint="eastAsia" w:ascii="宋体" w:hAnsi="宋体"/>
          <w:b/>
          <w:color w:val="000000" w:themeColor="text1"/>
          <w:sz w:val="24"/>
          <w:szCs w:val="24"/>
        </w:rPr>
        <w:t xml:space="preserve"> </w:t>
      </w:r>
      <w:bookmarkStart w:id="8" w:name="_Hlk101716154"/>
      <w:r>
        <w:rPr>
          <w:rFonts w:hint="eastAsia" w:ascii="宋体" w:hAnsi="宋体"/>
          <w:b/>
          <w:color w:val="000000" w:themeColor="text1"/>
          <w:sz w:val="24"/>
        </w:rPr>
        <w:t>多媒体设备管理与客服接待服务</w:t>
      </w:r>
      <w:bookmarkEnd w:id="8"/>
    </w:p>
    <w:p w14:paraId="447560FB">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5</w:t>
      </w:r>
      <w:r>
        <w:rPr>
          <w:rFonts w:hint="eastAsia" w:ascii="宋体" w:hAnsi="宋体"/>
          <w:b/>
          <w:color w:val="000000" w:themeColor="text1"/>
          <w:sz w:val="24"/>
          <w:szCs w:val="24"/>
        </w:rPr>
        <w:t>.1 服务内容</w:t>
      </w:r>
    </w:p>
    <w:p w14:paraId="26FE8867">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（1）对行政楼公共会议室（各部门会议室除外）提供客服接待、会议服务，按照学校要求负责协助完成会议服务。</w:t>
      </w:r>
    </w:p>
    <w:p w14:paraId="6551218B">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（2）负责行政楼会议室、第五、第六教学楼所有多媒体设备的维护、管理和服务。</w:t>
      </w:r>
    </w:p>
    <w:p w14:paraId="28553DD0">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5</w:t>
      </w:r>
      <w:r>
        <w:rPr>
          <w:rFonts w:hint="eastAsia" w:ascii="宋体" w:hAnsi="宋体"/>
          <w:b/>
          <w:color w:val="000000" w:themeColor="text1"/>
          <w:sz w:val="24"/>
          <w:szCs w:val="24"/>
        </w:rPr>
        <w:t>.2 服务要求</w:t>
      </w:r>
    </w:p>
    <w:p w14:paraId="58BB9DA3">
      <w:pPr>
        <w:pStyle w:val="2"/>
        <w:spacing w:line="360" w:lineRule="auto"/>
        <w:ind w:firstLine="240" w:firstLineChars="100"/>
        <w:rPr>
          <w:rFonts w:ascii="宋体" w:hAnsi="宋体"/>
          <w:bCs/>
          <w:color w:val="000000" w:themeColor="text1"/>
          <w:sz w:val="24"/>
        </w:rPr>
      </w:pPr>
      <w:r>
        <w:rPr>
          <w:rFonts w:hint="eastAsia" w:ascii="宋体" w:hAnsi="宋体"/>
          <w:bCs/>
          <w:color w:val="000000" w:themeColor="text1"/>
          <w:sz w:val="24"/>
        </w:rPr>
        <w:t>（1）客服接待服务</w:t>
      </w:r>
    </w:p>
    <w:p w14:paraId="5EF76A18">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1）负责来访人员的接待、场地指引和服务工作。</w:t>
      </w:r>
    </w:p>
    <w:p w14:paraId="18A8D20D">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2）负责报事报修及投诉的处理工作；负责教室的安排和协调工作。</w:t>
      </w:r>
    </w:p>
    <w:p w14:paraId="4303E521">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3）负责行政楼邮件、报刊收发（报纸需发放到各办公室）工作。</w:t>
      </w:r>
    </w:p>
    <w:p w14:paraId="1B6CFB4F">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4）负责意见的征询、收集工作。</w:t>
      </w:r>
    </w:p>
    <w:p w14:paraId="318BF869">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5）负责行政楼会议服务工作，主要包括会议室前准备、会中的引领蓄水服务、会后整理工作。行政楼会议室根据会议主办方要求进行会场布置；提供高质量的各项会议会务服务；按照会议的规格配置相应的物品，根据会议主办方要求做好会场布置、文件分装、席卡摆放、空调调节、茶水、纸巾等服务（相关会议用品由采购人提供）。</w:t>
      </w:r>
    </w:p>
    <w:p w14:paraId="3243D35F">
      <w:pPr>
        <w:pStyle w:val="2"/>
        <w:spacing w:line="360" w:lineRule="auto"/>
        <w:ind w:firstLine="720" w:firstLineChars="300"/>
        <w:rPr>
          <w:rFonts w:ascii="宋体" w:hAnsi="宋体"/>
          <w:b/>
          <w:color w:val="000000" w:themeColor="text1"/>
          <w:sz w:val="24"/>
        </w:rPr>
      </w:pPr>
      <w:r>
        <w:rPr>
          <w:rFonts w:hint="eastAsia" w:ascii="宋体" w:hAnsi="宋体"/>
          <w:bCs/>
          <w:color w:val="000000" w:themeColor="text1"/>
          <w:sz w:val="24"/>
        </w:rPr>
        <w:t>★6）会议室设施设备要保证会议需要，提前30分钟做好会务准备、贵宾接待和会议服务，包括会议室投影准备，茶水、咖啡等服务。会中做好引领、蓄水等工作，蓄水间隔时间不超过20分钟1次。茶叶、咖啡和纸杯等由采购人提供，咖啡机由物管公司提供，至少1台。若会议室设施设备出现问题需要更换，应及时向采购人报告。</w:t>
      </w:r>
      <w:r>
        <w:rPr>
          <w:rFonts w:hint="eastAsia" w:ascii="宋体" w:hAnsi="宋体"/>
          <w:b/>
          <w:color w:val="000000" w:themeColor="text1"/>
          <w:sz w:val="24"/>
        </w:rPr>
        <w:t>（提供承诺函）</w:t>
      </w:r>
    </w:p>
    <w:p w14:paraId="5D092139">
      <w:pPr>
        <w:pStyle w:val="2"/>
        <w:spacing w:line="360" w:lineRule="auto"/>
        <w:ind w:firstLine="720" w:firstLineChars="300"/>
        <w:rPr>
          <w:rFonts w:ascii="宋体" w:hAnsi="宋体"/>
          <w:bCs/>
          <w:color w:val="000000" w:themeColor="text1"/>
          <w:sz w:val="24"/>
        </w:rPr>
      </w:pPr>
      <w:r>
        <w:rPr>
          <w:rFonts w:hint="eastAsia" w:ascii="宋体" w:hAnsi="宋体"/>
          <w:color w:val="000000" w:themeColor="text1"/>
          <w:sz w:val="24"/>
          <w:szCs w:val="24"/>
        </w:rPr>
        <w:t>7）</w:t>
      </w:r>
      <w:r>
        <w:rPr>
          <w:rFonts w:hint="eastAsia"/>
          <w:color w:val="000000" w:themeColor="text1"/>
          <w:sz w:val="24"/>
          <w:szCs w:val="24"/>
        </w:rPr>
        <w:t>投标人应按照客服接待服务服务内容、服务要求、服务标准开展本项目客服接待服务工作，提供客服接待服务服务方案，方案应包含不限于人员配置及职责、管理制度、考核办法、会务服务方案等。</w:t>
      </w:r>
    </w:p>
    <w:p w14:paraId="0072B529">
      <w:pPr>
        <w:pStyle w:val="2"/>
        <w:spacing w:line="360" w:lineRule="auto"/>
        <w:ind w:firstLine="240" w:firstLineChars="100"/>
        <w:rPr>
          <w:rFonts w:ascii="宋体" w:hAnsi="宋体"/>
          <w:bCs/>
          <w:color w:val="000000" w:themeColor="text1"/>
          <w:sz w:val="24"/>
        </w:rPr>
      </w:pPr>
      <w:r>
        <w:rPr>
          <w:rFonts w:hint="eastAsia" w:ascii="宋体" w:hAnsi="宋体"/>
          <w:bCs/>
          <w:color w:val="000000" w:themeColor="text1"/>
          <w:sz w:val="24"/>
        </w:rPr>
        <w:t>（2）多媒体设备管理</w:t>
      </w:r>
    </w:p>
    <w:p w14:paraId="1CF72BDC">
      <w:pPr>
        <w:pStyle w:val="2"/>
        <w:ind w:firstLine="240" w:firstLineChars="100"/>
        <w:rPr>
          <w:rFonts w:ascii="宋体" w:hAnsi="宋体"/>
          <w:bCs/>
          <w:color w:val="000000" w:themeColor="text1"/>
          <w:sz w:val="24"/>
        </w:rPr>
      </w:pPr>
      <w:r>
        <w:rPr>
          <w:rFonts w:hint="eastAsia" w:ascii="宋体" w:hAnsi="宋体"/>
          <w:bCs/>
          <w:color w:val="000000" w:themeColor="text1"/>
          <w:sz w:val="24"/>
        </w:rPr>
        <w:t xml:space="preserve">   1）建立多媒体设备的台账与清单，建立多媒体设施设备的管理记录。</w:t>
      </w:r>
    </w:p>
    <w:p w14:paraId="002AA096">
      <w:pPr>
        <w:pStyle w:val="2"/>
        <w:ind w:firstLine="240" w:firstLineChars="100"/>
        <w:rPr>
          <w:rFonts w:ascii="宋体" w:hAnsi="宋体"/>
          <w:bCs/>
          <w:color w:val="000000" w:themeColor="text1"/>
          <w:sz w:val="24"/>
        </w:rPr>
      </w:pPr>
      <w:r>
        <w:rPr>
          <w:rFonts w:hint="eastAsia" w:ascii="宋体" w:hAnsi="宋体"/>
          <w:bCs/>
          <w:color w:val="000000" w:themeColor="text1"/>
          <w:sz w:val="24"/>
        </w:rPr>
        <w:t xml:space="preserve">   2）负责日常多媒体设施设备的检查与维护。</w:t>
      </w:r>
    </w:p>
    <w:p w14:paraId="2BD41263">
      <w:pPr>
        <w:pStyle w:val="2"/>
        <w:spacing w:line="360" w:lineRule="auto"/>
        <w:ind w:firstLine="240" w:firstLineChars="100"/>
        <w:rPr>
          <w:rFonts w:ascii="宋体" w:hAnsi="宋体"/>
          <w:color w:val="000000" w:themeColor="text1"/>
          <w:sz w:val="24"/>
        </w:rPr>
      </w:pPr>
      <w:r>
        <w:rPr>
          <w:rFonts w:hint="eastAsia" w:ascii="宋体" w:hAnsi="宋体"/>
          <w:color w:val="000000" w:themeColor="text1"/>
          <w:sz w:val="24"/>
        </w:rPr>
        <w:t xml:space="preserve">   3）负责电脑系统的维修、维护、清理及软件安装、更新、重装。</w:t>
      </w:r>
    </w:p>
    <w:p w14:paraId="02096079">
      <w:pPr>
        <w:pStyle w:val="2"/>
        <w:numPr>
          <w:ilvl w:val="0"/>
          <w:numId w:val="1"/>
        </w:num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负责协助学校相关部门做好每年多媒体设备台账的清理。</w:t>
      </w:r>
    </w:p>
    <w:p w14:paraId="52EA4E25">
      <w:pPr>
        <w:pStyle w:val="2"/>
        <w:numPr>
          <w:ilvl w:val="0"/>
          <w:numId w:val="1"/>
        </w:num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协助多媒体设施设备的维修工作。</w:t>
      </w:r>
    </w:p>
    <w:p w14:paraId="4EC992F4">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★6）负责多媒体设施设备的检查与维修，做到有记录，消除安全隐患，及时排除故障，保证使用合格率达100%。若设备出现问题需要更换，应及时向采购人报告。</w:t>
      </w:r>
      <w:r>
        <w:rPr>
          <w:rFonts w:hint="eastAsia" w:ascii="宋体" w:hAnsi="宋体"/>
          <w:b/>
          <w:bCs/>
          <w:color w:val="000000" w:themeColor="text1"/>
          <w:sz w:val="24"/>
          <w:szCs w:val="24"/>
        </w:rPr>
        <w:t>（提供承诺函）</w:t>
      </w:r>
      <w:r>
        <w:rPr>
          <w:rFonts w:hint="eastAsia" w:ascii="宋体" w:hAnsi="宋体"/>
          <w:color w:val="000000" w:themeColor="text1"/>
          <w:sz w:val="24"/>
          <w:szCs w:val="24"/>
        </w:rPr>
        <w:t xml:space="preserve"> </w:t>
      </w:r>
    </w:p>
    <w:p w14:paraId="72D3500D">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7）投标人应按照</w:t>
      </w:r>
      <w:bookmarkStart w:id="9" w:name="_Hlk101716238"/>
      <w:r>
        <w:rPr>
          <w:rFonts w:hint="eastAsia" w:ascii="宋体" w:hAnsi="宋体"/>
          <w:color w:val="000000" w:themeColor="text1"/>
          <w:sz w:val="24"/>
          <w:szCs w:val="24"/>
        </w:rPr>
        <w:t>多媒体设备管理</w:t>
      </w:r>
      <w:bookmarkEnd w:id="9"/>
      <w:r>
        <w:rPr>
          <w:rFonts w:hint="eastAsia" w:ascii="宋体" w:hAnsi="宋体"/>
          <w:color w:val="000000" w:themeColor="text1"/>
          <w:sz w:val="24"/>
          <w:szCs w:val="24"/>
        </w:rPr>
        <w:t>内容、服务要求、服务标准开展本项目多媒体设备管理工作，提供多媒体设备管理方案，方案应包含不限于人员配置及职责、管理制度、考核办法、多媒体设备教学故障应急保障方案等。</w:t>
      </w:r>
    </w:p>
    <w:p w14:paraId="777CDBB1">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3.5.3 服务区域及标准</w:t>
      </w:r>
    </w:p>
    <w:p w14:paraId="5F230748">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（1）客服接待服务</w:t>
      </w:r>
    </w:p>
    <w:p w14:paraId="1C77914C">
      <w:pPr>
        <w:pStyle w:val="2"/>
        <w:spacing w:line="360" w:lineRule="auto"/>
        <w:rPr>
          <w:rFonts w:ascii="宋体" w:hAnsi="宋体"/>
          <w:color w:val="000000" w:themeColor="text1"/>
          <w:sz w:val="24"/>
        </w:rPr>
      </w:pPr>
      <w:r>
        <w:rPr>
          <w:rFonts w:hint="eastAsia" w:ascii="宋体" w:hAnsi="宋体"/>
          <w:color w:val="000000" w:themeColor="text1"/>
          <w:sz w:val="24"/>
        </w:rPr>
        <w:t xml:space="preserve">       1）行政楼主门岗每天上下班进行客服礼仪岗服务，服务做到标准、亲切、礼貌、专业。</w:t>
      </w:r>
    </w:p>
    <w:p w14:paraId="79DB7372">
      <w:pPr>
        <w:pStyle w:val="2"/>
        <w:spacing w:line="360" w:lineRule="auto"/>
        <w:rPr>
          <w:rFonts w:ascii="宋体" w:hAnsi="宋体"/>
          <w:color w:val="000000" w:themeColor="text1"/>
          <w:sz w:val="24"/>
        </w:rPr>
      </w:pPr>
      <w:r>
        <w:rPr>
          <w:rFonts w:hint="eastAsia" w:ascii="宋体" w:hAnsi="宋体"/>
          <w:color w:val="000000" w:themeColor="text1"/>
          <w:sz w:val="24"/>
        </w:rPr>
        <w:t xml:space="preserve">       2）每天对报事报修事项进行跟进、处理以及回访。</w:t>
      </w:r>
    </w:p>
    <w:p w14:paraId="5AA14F42">
      <w:pPr>
        <w:pStyle w:val="2"/>
        <w:spacing w:line="360" w:lineRule="auto"/>
        <w:rPr>
          <w:rFonts w:ascii="宋体" w:hAnsi="宋体"/>
          <w:color w:val="000000" w:themeColor="text1"/>
          <w:sz w:val="24"/>
        </w:rPr>
      </w:pPr>
      <w:r>
        <w:rPr>
          <w:rFonts w:hint="eastAsia" w:ascii="宋体" w:hAnsi="宋体"/>
          <w:color w:val="000000" w:themeColor="text1"/>
          <w:sz w:val="24"/>
        </w:rPr>
        <w:t xml:space="preserve">       3）对各科室的报刊、杂志进行发放工作。</w:t>
      </w:r>
    </w:p>
    <w:p w14:paraId="49B32998">
      <w:pPr>
        <w:pStyle w:val="2"/>
        <w:spacing w:line="360" w:lineRule="auto"/>
        <w:rPr>
          <w:rFonts w:ascii="宋体" w:hAnsi="宋体"/>
          <w:color w:val="000000" w:themeColor="text1"/>
          <w:sz w:val="24"/>
        </w:rPr>
      </w:pPr>
      <w:r>
        <w:rPr>
          <w:rFonts w:hint="eastAsia" w:ascii="宋体" w:hAnsi="宋体"/>
          <w:color w:val="000000" w:themeColor="text1"/>
          <w:sz w:val="24"/>
        </w:rPr>
        <w:t xml:space="preserve">       4）根据学校要求，每年定期与不定期进行师生满意度的收集。</w:t>
      </w:r>
    </w:p>
    <w:p w14:paraId="1DECA38C">
      <w:pPr>
        <w:pStyle w:val="2"/>
        <w:spacing w:line="360" w:lineRule="auto"/>
        <w:rPr>
          <w:rFonts w:ascii="宋体" w:hAnsi="宋体"/>
          <w:color w:val="000000" w:themeColor="text1"/>
          <w:sz w:val="24"/>
        </w:rPr>
      </w:pPr>
      <w:r>
        <w:rPr>
          <w:rFonts w:hint="eastAsia" w:ascii="宋体" w:hAnsi="宋体"/>
          <w:color w:val="000000" w:themeColor="text1"/>
          <w:sz w:val="24"/>
        </w:rPr>
        <w:t xml:space="preserve">       5）每天配合教务处进行教室安排及教室协调，并及时反馈相应情况。</w:t>
      </w:r>
    </w:p>
    <w:p w14:paraId="40280D39">
      <w:pPr>
        <w:pStyle w:val="2"/>
        <w:spacing w:line="360" w:lineRule="auto"/>
        <w:rPr>
          <w:color w:val="000000" w:themeColor="text1"/>
          <w:sz w:val="24"/>
          <w:szCs w:val="24"/>
        </w:rPr>
      </w:pPr>
      <w:r>
        <w:rPr>
          <w:rFonts w:hint="eastAsia" w:ascii="宋体" w:hAnsi="宋体"/>
          <w:color w:val="000000" w:themeColor="text1"/>
          <w:sz w:val="24"/>
        </w:rPr>
        <w:t xml:space="preserve">    （2）</w:t>
      </w:r>
      <w:r>
        <w:rPr>
          <w:rFonts w:hint="eastAsia" w:ascii="宋体" w:hAnsi="宋体"/>
          <w:bCs/>
          <w:color w:val="000000" w:themeColor="text1"/>
          <w:sz w:val="24"/>
          <w:szCs w:val="24"/>
        </w:rPr>
        <w:t>多媒体设备管理</w:t>
      </w:r>
    </w:p>
    <w:p w14:paraId="22009F96">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1）每天做好多媒体教室设备、会议室设备的巡查、检查工作。</w:t>
      </w:r>
    </w:p>
    <w:p w14:paraId="3CC42623">
      <w:pPr>
        <w:pStyle w:val="2"/>
        <w:spacing w:line="360" w:lineRule="auto"/>
        <w:rPr>
          <w:rFonts w:ascii="宋体" w:hAnsi="宋体"/>
          <w:color w:val="000000" w:themeColor="text1"/>
          <w:sz w:val="24"/>
        </w:rPr>
      </w:pPr>
      <w:r>
        <w:rPr>
          <w:rFonts w:hint="eastAsia" w:ascii="宋体" w:hAnsi="宋体"/>
          <w:color w:val="000000" w:themeColor="text1"/>
          <w:sz w:val="24"/>
        </w:rPr>
        <w:t xml:space="preserve">      2）每天做好会议室使用前设备的检查、调试工作；做好会议后设备的检查、关闭及相关设备的整理工作。</w:t>
      </w:r>
    </w:p>
    <w:p w14:paraId="4FFD2FA0">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3）每天及时对多媒体教室的故障进行处理，并做好相应记录；每天做好师生对设备体设备的借用及回收。</w:t>
      </w:r>
    </w:p>
    <w:p w14:paraId="05517DD2">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4）每周进行一次全面检查，排除各种故障，保证会议和教学正常使用。</w:t>
      </w:r>
    </w:p>
    <w:p w14:paraId="4527903B">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5）每月对电脑系统的维修、维护、清理及软件安装、更新、重装。</w:t>
      </w:r>
    </w:p>
    <w:p w14:paraId="73EBAD66">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6）每学期开学前对所有多媒体投影系统、控制系统的一般性故障排除及设备清洁。</w:t>
      </w:r>
    </w:p>
    <w:p w14:paraId="23CD12B3">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7）督促维保单位每学期进行多媒体设备滤网清洗及相关工作。</w:t>
      </w:r>
    </w:p>
    <w:p w14:paraId="6E9C08D4">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8）每学期对台账进行集中的整理并汇报相关部门。</w:t>
      </w:r>
    </w:p>
    <w:p w14:paraId="26285C6D">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9）负责多媒体设施设备的检查与维修，做到有记录，消除安全隐患，及时排除故障，保证使用合格率达100%。若设备出现问题需要更换，应及时向学校主管部门报告。</w:t>
      </w:r>
    </w:p>
    <w:p w14:paraId="08906FD4">
      <w:pPr>
        <w:pStyle w:val="4"/>
        <w:spacing w:before="0" w:after="0" w:line="360" w:lineRule="auto"/>
        <w:rPr>
          <w:rFonts w:ascii="宋体" w:hAnsi="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6</w:t>
      </w:r>
      <w:r>
        <w:rPr>
          <w:rFonts w:hint="eastAsia" w:ascii="黑体" w:hAnsi="黑体"/>
          <w:color w:val="000000" w:themeColor="text1"/>
          <w:sz w:val="24"/>
          <w:szCs w:val="24"/>
        </w:rPr>
        <w:t>设施设备管理与维修服务</w:t>
      </w:r>
    </w:p>
    <w:p w14:paraId="3A6814C5">
      <w:pPr>
        <w:spacing w:line="460" w:lineRule="exac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6</w:t>
      </w:r>
      <w:r>
        <w:rPr>
          <w:rFonts w:hint="eastAsia" w:ascii="宋体" w:hAnsi="宋体"/>
          <w:b/>
          <w:color w:val="000000" w:themeColor="text1"/>
          <w:sz w:val="24"/>
          <w:szCs w:val="24"/>
        </w:rPr>
        <w:t>.1 服务内容</w:t>
      </w:r>
    </w:p>
    <w:p w14:paraId="005BF63E">
      <w:pPr>
        <w:pStyle w:val="2"/>
        <w:spacing w:line="360" w:lineRule="auto"/>
        <w:ind w:firstLine="480" w:firstLineChars="200"/>
        <w:rPr>
          <w:color w:val="000000" w:themeColor="text1"/>
          <w:sz w:val="24"/>
        </w:rPr>
      </w:pPr>
      <w:r>
        <w:rPr>
          <w:rFonts w:hint="eastAsia" w:ascii="宋体" w:hAnsi="宋体"/>
          <w:color w:val="000000" w:themeColor="text1"/>
          <w:sz w:val="24"/>
        </w:rPr>
        <w:t>（1）负责管理范围内供电系统高（低）压电器设备、配电房、电线电缆、电气照明装置等设备的日常管理和养护维修；</w:t>
      </w:r>
    </w:p>
    <w:p w14:paraId="10636537">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负责对室内外给排水系统的设备、设施，如水泵、水箱、气压给水装置、水处理设备、消火设施、管道、管件、阀门、卫生洁具、排水管、透气管及疏通、水封设备、室外排水管及其附属构筑物等进行日常养护维修</w:t>
      </w:r>
    </w:p>
    <w:p w14:paraId="7EA4506F">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（3）负责建筑物内公共门、窗、桌椅的日常养护和小损小坏等日常维修，保持正常使用。</w:t>
      </w:r>
    </w:p>
    <w:p w14:paraId="5B7DD9C9">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（4）负责管理范围内设施设备、教室设备等的管理。</w:t>
      </w:r>
    </w:p>
    <w:p w14:paraId="0A058AF6">
      <w:pPr>
        <w:pStyle w:val="2"/>
        <w:spacing w:line="360" w:lineRule="auto"/>
        <w:ind w:firstLine="480"/>
        <w:rPr>
          <w:rFonts w:ascii="宋体" w:hAnsi="宋体"/>
          <w:color w:val="000000" w:themeColor="text1"/>
          <w:sz w:val="24"/>
        </w:rPr>
      </w:pPr>
      <w:r>
        <w:rPr>
          <w:rFonts w:hint="eastAsia" w:ascii="宋体" w:hAnsi="宋体"/>
          <w:color w:val="000000" w:themeColor="text1"/>
          <w:sz w:val="24"/>
        </w:rPr>
        <w:t>（5）负责对电梯、空调、消防设备的监督管理。</w:t>
      </w:r>
    </w:p>
    <w:p w14:paraId="195C27A5">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6</w:t>
      </w:r>
      <w:r>
        <w:rPr>
          <w:rFonts w:hint="eastAsia" w:ascii="宋体" w:hAnsi="宋体"/>
          <w:b/>
          <w:color w:val="000000" w:themeColor="text1"/>
          <w:sz w:val="24"/>
          <w:szCs w:val="24"/>
        </w:rPr>
        <w:t>.2 服务要求</w:t>
      </w:r>
    </w:p>
    <w:p w14:paraId="29D7BABA">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（1）负责报修、维修、水电问题的解释和咨询；负责对公共设施设备进行日常管理和维修养护。</w:t>
      </w:r>
    </w:p>
    <w:p w14:paraId="7692C6A4">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（2）维修人员随时在岗在位，确保水电安全运行，及时处理突发事件。建立公共设施设备档案（台帐），设施设备的运行、检查、维修、保养等记录齐全。</w:t>
      </w:r>
    </w:p>
    <w:p w14:paraId="3AC69E86">
      <w:pPr>
        <w:numPr>
          <w:ilvl w:val="0"/>
          <w:numId w:val="2"/>
        </w:num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对公共设施设备定期组织巡查，做好巡查记录。属于小修范围的，及时组织修复；属于大、中修范围或者需要更新改造的，及时编制维修、更新改造计划，向学校提出报告与建议。、</w:t>
      </w:r>
    </w:p>
    <w:p w14:paraId="7C4B89B1">
      <w:pPr>
        <w:spacing w:line="460" w:lineRule="exact"/>
        <w:ind w:firstLine="480" w:firstLineChars="200"/>
        <w:jc w:val="left"/>
        <w:rPr>
          <w:color w:val="000000" w:themeColor="text1"/>
          <w:sz w:val="24"/>
          <w:szCs w:val="24"/>
        </w:rPr>
      </w:pPr>
      <w:r>
        <w:rPr>
          <w:rFonts w:hint="eastAsia" w:ascii="宋体" w:hAnsi="宋体"/>
          <w:color w:val="000000" w:themeColor="text1"/>
          <w:sz w:val="24"/>
          <w:szCs w:val="24"/>
        </w:rPr>
        <w:t>（4）对室内外给排水系统的设备、设施，如水泵、水箱、气压给水装置、水处理设备、消火设施、管道、管件、阀门、水嘴、卫生洁具、排水管、透气管及疏通、水封设备、室外排水管及其附属构筑物等进行日常养护维修，防止跑、冒、滴、漏情况发生，保证正常运行使用。定期清理各楼栋屋顶，防止落水管堵塞。</w:t>
      </w:r>
    </w:p>
    <w:p w14:paraId="0343FADF">
      <w:pPr>
        <w:spacing w:line="360" w:lineRule="auto"/>
        <w:ind w:firstLine="480" w:firstLineChars="200"/>
        <w:jc w:val="left"/>
        <w:rPr>
          <w:color w:val="000000" w:themeColor="text1"/>
          <w:sz w:val="24"/>
          <w:szCs w:val="24"/>
        </w:rPr>
      </w:pPr>
      <w:r>
        <w:rPr>
          <w:rFonts w:hint="eastAsia"/>
          <w:color w:val="000000" w:themeColor="text1"/>
          <w:sz w:val="24"/>
          <w:szCs w:val="24"/>
        </w:rPr>
        <w:t>（5）设置 24 小时报修电话，配备专业人员，报修记录规范。有日常维修保障制度，水、电急修应在 5 分钟内到达现场，教学用多媒体设备维修应在5分钟内到达现场，其它维修应在学校要求的时间段内到达现场，在设施设备管理与维修服务方案提供日常维修保障制度。</w:t>
      </w:r>
    </w:p>
    <w:p w14:paraId="43C56C08">
      <w:pPr>
        <w:spacing w:line="460" w:lineRule="exact"/>
        <w:ind w:firstLine="240" w:firstLineChars="100"/>
        <w:jc w:val="left"/>
        <w:rPr>
          <w:rFonts w:ascii="宋体" w:hAnsi="宋体"/>
          <w:color w:val="000000" w:themeColor="text1"/>
          <w:sz w:val="24"/>
          <w:szCs w:val="24"/>
        </w:rPr>
      </w:pPr>
      <w:r>
        <w:rPr>
          <w:rFonts w:hint="eastAsia" w:ascii="宋体" w:hAnsi="宋体"/>
          <w:color w:val="000000" w:themeColor="text1"/>
          <w:sz w:val="24"/>
          <w:szCs w:val="24"/>
        </w:rPr>
        <w:t>★（6）教室管理：按时开关门，保证正常教学活动；每学期开学期、大型考试前对所有教室桌椅进行全面检查，对损坏的桌椅进行及时维修，平时不定期进行排查，保持课桌椅完好率达100%。教室粉笔、黑板刷由物业公司负责配备。</w:t>
      </w:r>
    </w:p>
    <w:p w14:paraId="69F24DC6">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7）负责对室内外给排水系统的设备、设施，如水泵、水箱、气压给水装置、水处理设备、消火设施、管道、管件、阀门、水嘴、卫生洁具、排水管、透气管及疏通、水封设备、室外排水管及其附属构筑物等进行日常养护维修，防止跑、冒、滴、漏情况发生，保证正常运行使用。定期清理各楼栋屋顶，防止落水管堵塞。</w:t>
      </w:r>
    </w:p>
    <w:p w14:paraId="59454245">
      <w:pPr>
        <w:spacing w:line="460" w:lineRule="exact"/>
        <w:ind w:firstLine="420" w:firstLineChars="200"/>
        <w:jc w:val="left"/>
        <w:rPr>
          <w:rFonts w:ascii="宋体" w:hAnsi="宋体"/>
          <w:color w:val="000000" w:themeColor="text1"/>
          <w:sz w:val="24"/>
          <w:szCs w:val="24"/>
        </w:rPr>
      </w:pPr>
      <w:r>
        <w:rPr>
          <w:rFonts w:hint="eastAsia" w:ascii="宋体" w:hAnsi="宋体"/>
          <w:color w:val="000000" w:themeColor="text1"/>
        </w:rPr>
        <w:t>★</w:t>
      </w:r>
      <w:r>
        <w:rPr>
          <w:rFonts w:hint="eastAsia" w:ascii="宋体" w:hAnsi="宋体"/>
          <w:color w:val="000000" w:themeColor="text1"/>
          <w:sz w:val="24"/>
          <w:szCs w:val="24"/>
        </w:rPr>
        <w:t>（8）负责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及时排除故障，维修合格率100%；加强日常维护检修，公共使用的照明、指示灯具线路、开关要保证完好，确保用电完全；管理和维护好防雷设施。</w:t>
      </w:r>
    </w:p>
    <w:p w14:paraId="11C3FE4A">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9）维修服务：负责对行政楼、二办公区、行政楼旁原锦地苑浴室办公区、教学楼(包括各部门办公室、会议室、实验室)内在2000元以内（单项/件，不累计计算）的水电、土木、公共设施的恢复性维修，灯具、水龙头、冲水阀、延时阀、脚踏阀、小便感应器、水管、插座、开关等易耗品由物管公司承担。负责建筑物内公共门、窗、桌椅的日常养护，及时修复小损小坏等，保证正常使用；一般维修任务不超过24小时。</w:t>
      </w:r>
    </w:p>
    <w:p w14:paraId="19657469">
      <w:pPr>
        <w:numPr>
          <w:ilvl w:val="0"/>
          <w:numId w:val="3"/>
        </w:numPr>
        <w:spacing w:line="360" w:lineRule="auto"/>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需要学校出资维修的项目，由物业公司书面报告采购人，由采购人书面审批后按程序安排执行。涉及安全需要应急维修和处理的，物业公司应及时采取妥当有效措施消除和减少安全隐患及事故发生，否则由物业公司承担相应经济及法律责任。</w:t>
      </w:r>
    </w:p>
    <w:p w14:paraId="145C8AB0">
      <w:pPr>
        <w:pStyle w:val="2"/>
        <w:spacing w:line="360" w:lineRule="auto"/>
        <w:ind w:firstLine="480" w:firstLineChars="200"/>
        <w:rPr>
          <w:color w:val="000000" w:themeColor="text1"/>
        </w:rPr>
      </w:pPr>
      <w:r>
        <w:rPr>
          <w:rFonts w:hint="eastAsia" w:ascii="宋体" w:hAnsi="宋体" w:eastAsia="宋体" w:cs="宋体"/>
          <w:color w:val="000000" w:themeColor="text1"/>
          <w:sz w:val="24"/>
        </w:rPr>
        <w:t>（11）投标人应按照设施设备管理与维修服务服务内容、服务要求、服务标准开展本项目设施设备管理与维修服务工作，提供设施设备管理与维修服务服务方案，方案应包含不限于人员配置及岗位职责、管理制度、考核办法、日常维修服务方案、设施设备巡查方案等。</w:t>
      </w:r>
    </w:p>
    <w:p w14:paraId="48B8992E">
      <w:pPr>
        <w:pStyle w:val="2"/>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6</w:t>
      </w:r>
      <w:r>
        <w:rPr>
          <w:rFonts w:hint="eastAsia" w:ascii="宋体" w:hAnsi="宋体"/>
          <w:b/>
          <w:color w:val="000000" w:themeColor="text1"/>
          <w:sz w:val="24"/>
          <w:szCs w:val="24"/>
        </w:rPr>
        <w:t>.3服务区域及标准</w:t>
      </w:r>
    </w:p>
    <w:p w14:paraId="189D086B">
      <w:pPr>
        <w:numPr>
          <w:ilvl w:val="0"/>
          <w:numId w:val="4"/>
        </w:numPr>
        <w:spacing w:line="460" w:lineRule="exact"/>
        <w:ind w:firstLine="480"/>
        <w:jc w:val="left"/>
        <w:rPr>
          <w:rFonts w:ascii="宋体" w:hAnsi="宋体"/>
          <w:bCs/>
          <w:color w:val="000000" w:themeColor="text1"/>
          <w:sz w:val="24"/>
        </w:rPr>
      </w:pPr>
      <w:r>
        <w:rPr>
          <w:rFonts w:hint="eastAsia" w:ascii="宋体" w:hAnsi="宋体"/>
          <w:bCs/>
          <w:color w:val="000000" w:themeColor="text1"/>
          <w:sz w:val="24"/>
        </w:rPr>
        <w:t>对供电系统高（低）压电器设备、电线电缆、电气照明装置等设备进行日常管理、养护和维修，保证正常运行使用。</w:t>
      </w:r>
    </w:p>
    <w:p w14:paraId="23031A5F">
      <w:pPr>
        <w:numPr>
          <w:ilvl w:val="0"/>
          <w:numId w:val="4"/>
        </w:numPr>
        <w:spacing w:line="460" w:lineRule="exact"/>
        <w:ind w:firstLine="480"/>
        <w:jc w:val="left"/>
        <w:rPr>
          <w:rFonts w:ascii="宋体" w:hAnsi="宋体"/>
          <w:color w:val="000000" w:themeColor="text1"/>
          <w:sz w:val="24"/>
        </w:rPr>
      </w:pPr>
      <w:r>
        <w:rPr>
          <w:rFonts w:hint="eastAsia" w:ascii="宋体" w:hAnsi="宋体"/>
          <w:color w:val="000000" w:themeColor="text1"/>
          <w:sz w:val="24"/>
        </w:rPr>
        <w:t>保持载人电梯早6点至晚12点正常运行。</w:t>
      </w:r>
    </w:p>
    <w:p w14:paraId="63D1ADEB">
      <w:pPr>
        <w:numPr>
          <w:ilvl w:val="0"/>
          <w:numId w:val="4"/>
        </w:numPr>
        <w:spacing w:line="460" w:lineRule="exact"/>
        <w:ind w:firstLine="480"/>
        <w:jc w:val="left"/>
        <w:rPr>
          <w:rFonts w:ascii="宋体" w:hAnsi="宋体"/>
          <w:color w:val="000000" w:themeColor="text1"/>
          <w:sz w:val="24"/>
        </w:rPr>
      </w:pPr>
      <w:r>
        <w:rPr>
          <w:rFonts w:hint="eastAsia" w:ascii="宋体" w:hAnsi="宋体"/>
          <w:color w:val="000000" w:themeColor="text1"/>
          <w:sz w:val="24"/>
        </w:rPr>
        <w:t>容易危及人身安全的设施设备有明显警示标志和防范措施；对可能发生的各种突发设备故障有应急预案。</w:t>
      </w:r>
    </w:p>
    <w:p w14:paraId="427C7256">
      <w:pPr>
        <w:spacing w:line="460" w:lineRule="exact"/>
        <w:ind w:firstLine="480" w:firstLineChars="200"/>
        <w:jc w:val="left"/>
        <w:rPr>
          <w:rFonts w:ascii="宋体" w:hAnsi="宋体"/>
          <w:b/>
          <w:color w:val="000000" w:themeColor="text1"/>
          <w:sz w:val="24"/>
          <w:szCs w:val="24"/>
        </w:rPr>
      </w:pPr>
      <w:r>
        <w:rPr>
          <w:rFonts w:hint="eastAsia" w:ascii="宋体" w:hAnsi="宋体"/>
          <w:color w:val="000000" w:themeColor="text1"/>
          <w:sz w:val="24"/>
        </w:rPr>
        <w:t>（4）负责电梯运行管理和对机房设备、井道系统、轿厢设备进行日常管理。建立电梯运行管理、设备管理、安全管理制度，确保电梯按规定时间运行，安全设备齐全有效，通风、照明及其它附属设施完好；因故障停梯，及时通知维保单位在30分钟内到达现场抢修，并及时排除故障，保证空调设备、设施处于良好状态；空调系统出现运行故障后，通知维保单位及时到达现场维修，并做好记录。</w:t>
      </w:r>
    </w:p>
    <w:p w14:paraId="455B075D">
      <w:pPr>
        <w:spacing w:line="460" w:lineRule="exact"/>
        <w:ind w:firstLine="480" w:firstLineChars="200"/>
        <w:jc w:val="left"/>
        <w:rPr>
          <w:rFonts w:ascii="宋体" w:hAnsi="宋体"/>
          <w:b/>
          <w:color w:val="000000" w:themeColor="text1"/>
          <w:sz w:val="24"/>
          <w:szCs w:val="24"/>
        </w:rPr>
      </w:pPr>
      <w:r>
        <w:rPr>
          <w:rFonts w:hint="eastAsia" w:ascii="宋体" w:hAnsi="宋体"/>
          <w:color w:val="000000" w:themeColor="text1"/>
          <w:sz w:val="24"/>
        </w:rPr>
        <w:t>（5）负责行政楼、二办公区中央空调运行管理，保证空调系统安全运行和正常使用，运行中无超标噪音和严重滴漏水现象；定期检查，保证空调设备、设施处于良好状态；空调系统出现运行故障后，通知维保单位及时到达现场维修，并做好记录。</w:t>
      </w:r>
    </w:p>
    <w:p w14:paraId="1CCF89A4">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rPr>
        <w:t>（6）服务区内的外来施工，要建立完善的施工管理制度。施工前，依规定审核施工方案，告知施工方有关施工的禁止行为和注意事项。每日巡查1次施工现场，发现影响房屋外观、危及房屋结构安全及拆改公共管线等损害公共利益的，及时劝阻并报告学校主管部门。</w:t>
      </w:r>
    </w:p>
    <w:p w14:paraId="687F33CF">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7）负责电梯运行管理和对机房设备、井道系统、轿厢设备进行日常管理。建立电梯运行管理、设备管理、安全管理制度，确保电梯按规定时间运行，安全设备齐全有效，通风、照明及其它附属设施完好；因故障停梯，及时通知维保单位在30分钟内到达现场抢修，并及时排除故障，保证空调设备、设施处于良好状态；空调系统出现运行故障后，通知维保单位及时到达现场维修，并做好记录。</w:t>
      </w:r>
    </w:p>
    <w:p w14:paraId="18C84EBF">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8）服务区内的外来施工，要建立完善的施工管理制度。施工前，依规定审核施工方案，告知施工方有关施工的禁止行为和注意事项。每日巡查1次施工现场，发现影响房屋外观、危及房屋结构安全及拆改公共管线等损害公共利益的，及时劝阻并报告学校主管部门。</w:t>
      </w:r>
    </w:p>
    <w:p w14:paraId="5225753F">
      <w:pPr>
        <w:pStyle w:val="2"/>
        <w:spacing w:line="360" w:lineRule="auto"/>
        <w:rPr>
          <w:b/>
          <w:bCs/>
          <w:color w:val="000000" w:themeColor="text1"/>
          <w:sz w:val="24"/>
          <w:szCs w:val="24"/>
        </w:rPr>
      </w:pPr>
      <w:r>
        <w:rPr>
          <w:b/>
          <w:bCs/>
          <w:color w:val="000000" w:themeColor="text1"/>
        </w:rPr>
        <w:t xml:space="preserve">   </w:t>
      </w:r>
      <w:r>
        <w:rPr>
          <w:b/>
          <w:bCs/>
          <w:color w:val="000000" w:themeColor="text1"/>
          <w:sz w:val="24"/>
          <w:szCs w:val="24"/>
        </w:rPr>
        <w:t xml:space="preserve"> 3.7</w:t>
      </w:r>
      <w:r>
        <w:rPr>
          <w:rFonts w:hint="eastAsia"/>
          <w:b/>
          <w:bCs/>
          <w:color w:val="000000" w:themeColor="text1"/>
          <w:sz w:val="24"/>
          <w:szCs w:val="24"/>
        </w:rPr>
        <w:t>应急处置服务</w:t>
      </w:r>
    </w:p>
    <w:p w14:paraId="5ADE0857">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投标人应协助采购人处理各类突发事件，包含给排水系统故障、供配电系统故障、电梯系统故障等、防洪防汛、电梯困人、消防应急预案、新冠疫情防控、各类常见紧急情况等。</w:t>
      </w:r>
    </w:p>
    <w:p w14:paraId="6805A5CB">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投标人须制定各类突发事件处置预案，建立应急队伍组织体系和规章制度，明确各应急岗位职责，发生事故时候的紧急措施和善后处理。</w:t>
      </w:r>
    </w:p>
    <w:p w14:paraId="574651AC">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投标人须提供针对本项目实际情况的新冠疫情防控方案，方案包括组织架构、职责、重点岗位疫情防控措施及要点、项目物业人员自身疫情防范措施、疫情防控人员及物资保障等。</w:t>
      </w:r>
    </w:p>
    <w:p w14:paraId="3A63AA1F">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每季度至少1次对应急管理组织内人员进行专项培训，掌握必备应急知识。</w:t>
      </w:r>
    </w:p>
    <w:p w14:paraId="48E39A24">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当发生突发性事件时，在向比选人报告的同时应同时启动应急预案进行处置，同时全力配合比选人保护人、财、物的安全。</w:t>
      </w:r>
    </w:p>
    <w:p w14:paraId="2F549B6C">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落实消防安全事故应急要求，重特大消防事故为零、及时消除或上报消防隐患、消防通道保持通畅、妥善应对消防事故。</w:t>
      </w:r>
    </w:p>
    <w:p w14:paraId="22BD4E80">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安全生产及灾害预防。建立安全生产规章制度和操作规程，普及安全生产知识，安全用电、用气、安全操作设备及机具。提供暴雨或灾害性天气应急预案应包含以下应急措施：对露天设施的抗强风能力进行检查和加固；对集水井水泵运转情况进行检查，保证正常排涝；对排水系统进行检查，确保排水通畅；准备必要的抢险物资；安排值班人员进行巡查等。</w:t>
      </w:r>
    </w:p>
    <w:p w14:paraId="4893CFC4">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执行重大事件报告制度，根据成都市相关规定和学校规定程序进行报告。</w:t>
      </w:r>
    </w:p>
    <w:p w14:paraId="7E26FE5C">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对服务人员进行应急预案培训，定期组织预案演练；维持学校安全和正常的教育教学秩序，有效应对突发事件。</w:t>
      </w:r>
    </w:p>
    <w:p w14:paraId="39545FB7">
      <w:pPr>
        <w:spacing w:line="460" w:lineRule="exact"/>
        <w:ind w:firstLine="482" w:firstLineChars="200"/>
        <w:rPr>
          <w:b/>
          <w:bCs/>
          <w:color w:val="000000" w:themeColor="text1"/>
          <w:sz w:val="24"/>
          <w:szCs w:val="24"/>
        </w:rPr>
      </w:pPr>
      <w:r>
        <w:rPr>
          <w:rFonts w:hint="eastAsia"/>
          <w:b/>
          <w:bCs/>
          <w:color w:val="000000" w:themeColor="text1"/>
          <w:sz w:val="24"/>
          <w:szCs w:val="24"/>
        </w:rPr>
        <w:t>3.8人员配置要求</w:t>
      </w:r>
    </w:p>
    <w:p w14:paraId="28AEE85F">
      <w:pPr>
        <w:spacing w:line="460" w:lineRule="exact"/>
        <w:jc w:val="center"/>
        <w:rPr>
          <w:color w:val="000000" w:themeColor="text1"/>
          <w:sz w:val="24"/>
          <w:szCs w:val="24"/>
        </w:rPr>
      </w:pPr>
      <w:r>
        <w:rPr>
          <w:rFonts w:hint="eastAsia"/>
          <w:b/>
          <w:bCs/>
          <w:color w:val="000000" w:themeColor="text1"/>
          <w:sz w:val="24"/>
          <w:szCs w:val="24"/>
        </w:rPr>
        <w:t>3</w:t>
      </w:r>
      <w:r>
        <w:rPr>
          <w:rFonts w:hint="eastAsia"/>
          <w:color w:val="000000" w:themeColor="text1"/>
          <w:sz w:val="24"/>
          <w:szCs w:val="24"/>
        </w:rPr>
        <w:t>.8.1人员配置要求：人员配置总人数不得低于92人（提供承诺函）（见下表）。</w:t>
      </w:r>
    </w:p>
    <w:p w14:paraId="2305CFB4">
      <w:pPr>
        <w:spacing w:line="460" w:lineRule="exact"/>
        <w:jc w:val="center"/>
        <w:rPr>
          <w:rFonts w:ascii="宋体" w:hAnsi="宋体"/>
          <w:color w:val="000000" w:themeColor="text1"/>
          <w:sz w:val="24"/>
          <w:szCs w:val="24"/>
        </w:rPr>
      </w:pPr>
      <w:r>
        <w:rPr>
          <w:rFonts w:hint="eastAsia" w:ascii="宋体" w:hAnsi="宋体"/>
          <w:color w:val="000000" w:themeColor="text1"/>
        </w:rPr>
        <w:t xml:space="preserve"> </w:t>
      </w:r>
      <w:r>
        <w:rPr>
          <w:rFonts w:hint="eastAsia" w:ascii="宋体" w:hAnsi="宋体"/>
          <w:color w:val="000000" w:themeColor="text1"/>
          <w:sz w:val="18"/>
          <w:szCs w:val="18"/>
        </w:rPr>
        <w:t xml:space="preserve">表3 </w:t>
      </w:r>
      <w:r>
        <w:rPr>
          <w:rFonts w:hint="eastAsia" w:ascii="宋体" w:hAnsi="宋体"/>
          <w:color w:val="000000" w:themeColor="text1"/>
        </w:rPr>
        <w:t>物业管理人员配置要求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09"/>
        <w:gridCol w:w="4394"/>
        <w:gridCol w:w="2814"/>
      </w:tblGrid>
      <w:tr w14:paraId="415B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54AB117D">
            <w:pPr>
              <w:spacing w:line="273" w:lineRule="auto"/>
              <w:jc w:val="center"/>
              <w:rPr>
                <w:rFonts w:ascii="宋体" w:hAnsi="宋体" w:eastAsia="宋体" w:cs="宋体"/>
                <w:color w:val="000000" w:themeColor="text1"/>
                <w:szCs w:val="21"/>
              </w:rPr>
            </w:pPr>
            <w:bookmarkStart w:id="10" w:name="_Hlk101826393"/>
            <w:r>
              <w:rPr>
                <w:rFonts w:hint="eastAsia" w:ascii="宋体" w:hAnsi="宋体"/>
                <w:color w:val="000000" w:themeColor="text1"/>
              </w:rPr>
              <w:t>所需岗位</w:t>
            </w:r>
          </w:p>
        </w:tc>
        <w:tc>
          <w:tcPr>
            <w:tcW w:w="709" w:type="dxa"/>
            <w:tcBorders>
              <w:top w:val="single" w:color="auto" w:sz="4" w:space="0"/>
              <w:left w:val="single" w:color="auto" w:sz="4" w:space="0"/>
              <w:bottom w:val="single" w:color="auto" w:sz="4" w:space="0"/>
              <w:right w:val="single" w:color="auto" w:sz="4" w:space="0"/>
            </w:tcBorders>
            <w:vAlign w:val="center"/>
          </w:tcPr>
          <w:p w14:paraId="71FD590B">
            <w:pPr>
              <w:spacing w:line="273" w:lineRule="auto"/>
              <w:jc w:val="center"/>
              <w:rPr>
                <w:rFonts w:ascii="宋体" w:hAnsi="宋体" w:cs="宋体"/>
                <w:color w:val="000000" w:themeColor="text1"/>
                <w:szCs w:val="21"/>
              </w:rPr>
            </w:pPr>
            <w:r>
              <w:rPr>
                <w:rFonts w:hint="eastAsia" w:ascii="宋体" w:hAnsi="宋体"/>
                <w:color w:val="000000" w:themeColor="text1"/>
              </w:rPr>
              <w:t>所需</w:t>
            </w:r>
          </w:p>
          <w:p w14:paraId="11F774D6">
            <w:pPr>
              <w:spacing w:line="273" w:lineRule="auto"/>
              <w:jc w:val="center"/>
              <w:rPr>
                <w:rFonts w:ascii="宋体" w:hAnsi="宋体" w:eastAsia="宋体" w:cs="宋体"/>
                <w:color w:val="000000" w:themeColor="text1"/>
                <w:szCs w:val="21"/>
              </w:rPr>
            </w:pPr>
            <w:r>
              <w:rPr>
                <w:rFonts w:hint="eastAsia" w:ascii="宋体" w:hAnsi="宋体"/>
                <w:color w:val="000000" w:themeColor="text1"/>
              </w:rPr>
              <w:t>人数</w:t>
            </w:r>
          </w:p>
        </w:tc>
        <w:tc>
          <w:tcPr>
            <w:tcW w:w="4394" w:type="dxa"/>
            <w:tcBorders>
              <w:top w:val="single" w:color="auto" w:sz="4" w:space="0"/>
              <w:left w:val="single" w:color="auto" w:sz="4" w:space="0"/>
              <w:bottom w:val="single" w:color="auto" w:sz="4" w:space="0"/>
              <w:right w:val="single" w:color="auto" w:sz="4" w:space="0"/>
            </w:tcBorders>
            <w:vAlign w:val="center"/>
          </w:tcPr>
          <w:p w14:paraId="650C0F94">
            <w:pPr>
              <w:spacing w:line="273" w:lineRule="auto"/>
              <w:jc w:val="center"/>
              <w:rPr>
                <w:rFonts w:ascii="宋体" w:hAnsi="宋体" w:eastAsia="宋体" w:cs="宋体"/>
                <w:color w:val="000000" w:themeColor="text1"/>
                <w:szCs w:val="21"/>
              </w:rPr>
            </w:pPr>
            <w:r>
              <w:rPr>
                <w:rFonts w:hint="eastAsia" w:ascii="宋体" w:hAnsi="宋体"/>
                <w:color w:val="000000" w:themeColor="text1"/>
              </w:rPr>
              <w:t>工作职责</w:t>
            </w:r>
          </w:p>
        </w:tc>
        <w:tc>
          <w:tcPr>
            <w:tcW w:w="2814" w:type="dxa"/>
            <w:tcBorders>
              <w:top w:val="single" w:color="auto" w:sz="4" w:space="0"/>
              <w:left w:val="single" w:color="auto" w:sz="4" w:space="0"/>
              <w:bottom w:val="single" w:color="auto" w:sz="4" w:space="0"/>
              <w:right w:val="single" w:color="auto" w:sz="4" w:space="0"/>
            </w:tcBorders>
            <w:vAlign w:val="center"/>
          </w:tcPr>
          <w:p w14:paraId="7C5C7FFF">
            <w:pPr>
              <w:spacing w:line="273" w:lineRule="auto"/>
              <w:jc w:val="center"/>
              <w:rPr>
                <w:rFonts w:ascii="宋体" w:hAnsi="宋体" w:eastAsia="宋体" w:cs="宋体"/>
                <w:color w:val="000000" w:themeColor="text1"/>
                <w:szCs w:val="21"/>
              </w:rPr>
            </w:pPr>
            <w:r>
              <w:rPr>
                <w:rFonts w:hint="eastAsia" w:ascii="宋体" w:hAnsi="宋体"/>
                <w:color w:val="000000" w:themeColor="text1"/>
              </w:rPr>
              <w:t>所需要求</w:t>
            </w:r>
          </w:p>
        </w:tc>
      </w:tr>
      <w:tr w14:paraId="587D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3CAD25F7">
            <w:pPr>
              <w:spacing w:line="273" w:lineRule="auto"/>
              <w:rPr>
                <w:rFonts w:ascii="宋体" w:hAnsi="宋体" w:eastAsia="宋体" w:cs="宋体"/>
                <w:color w:val="000000" w:themeColor="text1"/>
                <w:szCs w:val="21"/>
              </w:rPr>
            </w:pPr>
            <w:r>
              <w:rPr>
                <w:rFonts w:hint="eastAsia" w:ascii="宋体" w:hAnsi="宋体"/>
                <w:color w:val="000000" w:themeColor="text1"/>
              </w:rPr>
              <w:t>项目经理</w:t>
            </w:r>
          </w:p>
        </w:tc>
        <w:tc>
          <w:tcPr>
            <w:tcW w:w="709" w:type="dxa"/>
            <w:tcBorders>
              <w:top w:val="single" w:color="auto" w:sz="4" w:space="0"/>
              <w:left w:val="single" w:color="auto" w:sz="4" w:space="0"/>
              <w:bottom w:val="single" w:color="auto" w:sz="4" w:space="0"/>
              <w:right w:val="single" w:color="auto" w:sz="4" w:space="0"/>
            </w:tcBorders>
            <w:vAlign w:val="center"/>
          </w:tcPr>
          <w:p w14:paraId="3D9072D8">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14:paraId="6D5ABF6C">
            <w:pPr>
              <w:spacing w:line="273" w:lineRule="auto"/>
              <w:rPr>
                <w:rFonts w:ascii="宋体" w:hAnsi="宋体" w:cs="宋体"/>
                <w:color w:val="000000" w:themeColor="text1"/>
                <w:szCs w:val="21"/>
              </w:rPr>
            </w:pPr>
            <w:r>
              <w:rPr>
                <w:rFonts w:hint="eastAsia" w:ascii="宋体" w:hAnsi="宋体"/>
                <w:color w:val="000000" w:themeColor="text1"/>
              </w:rPr>
              <w:t>⑴对物业服务所需人员、工作进行全面管理，以及协调统筹安排其他各项工作。</w:t>
            </w:r>
          </w:p>
          <w:p w14:paraId="76BAF959">
            <w:pPr>
              <w:spacing w:line="273" w:lineRule="auto"/>
              <w:rPr>
                <w:rFonts w:ascii="宋体" w:hAnsi="宋体"/>
                <w:color w:val="000000" w:themeColor="text1"/>
              </w:rPr>
            </w:pPr>
            <w:r>
              <w:rPr>
                <w:rFonts w:hint="eastAsia" w:ascii="宋体" w:hAnsi="宋体"/>
                <w:color w:val="000000" w:themeColor="text1"/>
              </w:rPr>
              <w:t>⑵负责项目员工的管理、指导、培训及考核评估。</w:t>
            </w:r>
          </w:p>
          <w:p w14:paraId="5F7E28B0">
            <w:pPr>
              <w:numPr>
                <w:ilvl w:val="0"/>
                <w:numId w:val="6"/>
              </w:numPr>
              <w:spacing w:line="273" w:lineRule="auto"/>
              <w:rPr>
                <w:rFonts w:ascii="宋体" w:hAnsi="宋体" w:eastAsia="宋体" w:cs="宋体"/>
                <w:color w:val="000000" w:themeColor="text1"/>
                <w:szCs w:val="21"/>
              </w:rPr>
            </w:pPr>
            <w:r>
              <w:rPr>
                <w:rFonts w:hint="eastAsia" w:ascii="宋体" w:hAnsi="宋体"/>
                <w:color w:val="000000" w:themeColor="text1"/>
              </w:rPr>
              <w:t>负责与各级主管部门的沟通协调工作。</w:t>
            </w:r>
          </w:p>
        </w:tc>
        <w:tc>
          <w:tcPr>
            <w:tcW w:w="2814" w:type="dxa"/>
            <w:tcBorders>
              <w:top w:val="single" w:color="auto" w:sz="4" w:space="0"/>
              <w:left w:val="single" w:color="auto" w:sz="4" w:space="0"/>
              <w:bottom w:val="single" w:color="auto" w:sz="4" w:space="0"/>
              <w:right w:val="single" w:color="auto" w:sz="4" w:space="0"/>
            </w:tcBorders>
            <w:vAlign w:val="center"/>
          </w:tcPr>
          <w:p w14:paraId="19696019">
            <w:pPr>
              <w:spacing w:line="273" w:lineRule="auto"/>
              <w:rPr>
                <w:rFonts w:ascii="宋体" w:hAnsi="宋体" w:cs="宋体"/>
                <w:color w:val="000000" w:themeColor="text1"/>
                <w:szCs w:val="21"/>
              </w:rPr>
            </w:pPr>
            <w:r>
              <w:rPr>
                <w:rFonts w:hint="eastAsia" w:ascii="宋体" w:hAnsi="宋体"/>
                <w:color w:val="000000" w:themeColor="text1"/>
              </w:rPr>
              <w:t>★（1）男性，身体健康≤50岁；女性，身体健康≤40岁</w:t>
            </w:r>
          </w:p>
          <w:p w14:paraId="175BA0E2">
            <w:pPr>
              <w:spacing w:line="273" w:lineRule="auto"/>
              <w:rPr>
                <w:rFonts w:ascii="宋体" w:hAnsi="宋体"/>
                <w:color w:val="000000" w:themeColor="text1"/>
              </w:rPr>
            </w:pPr>
            <w:r>
              <w:rPr>
                <w:rFonts w:hint="eastAsia" w:ascii="宋体" w:hAnsi="宋体"/>
                <w:color w:val="000000" w:themeColor="text1"/>
              </w:rPr>
              <w:t>（提供有效身份证复印件）。</w:t>
            </w:r>
          </w:p>
          <w:p w14:paraId="2DA1882B">
            <w:pPr>
              <w:spacing w:line="273" w:lineRule="auto"/>
              <w:rPr>
                <w:rFonts w:ascii="宋体" w:hAnsi="宋体"/>
                <w:color w:val="000000" w:themeColor="text1"/>
              </w:rPr>
            </w:pPr>
            <w:r>
              <w:rPr>
                <w:rFonts w:hint="eastAsia" w:ascii="宋体" w:hAnsi="宋体"/>
                <w:color w:val="000000" w:themeColor="text1"/>
              </w:rPr>
              <w:t>★（2）具有物业管理从业人员岗位证书和项目经理证书（提供相关证书复印件）。</w:t>
            </w:r>
          </w:p>
          <w:p w14:paraId="549D0D12">
            <w:pPr>
              <w:spacing w:line="273" w:lineRule="auto"/>
              <w:rPr>
                <w:rFonts w:ascii="宋体" w:hAnsi="宋体"/>
                <w:color w:val="000000" w:themeColor="text1"/>
              </w:rPr>
            </w:pPr>
            <w:r>
              <w:rPr>
                <w:rFonts w:hint="eastAsia" w:ascii="宋体" w:hAnsi="宋体"/>
                <w:color w:val="000000" w:themeColor="text1"/>
              </w:rPr>
              <w:t>★（3）具有本科及以上学历。（提供学历证书复印件）</w:t>
            </w:r>
          </w:p>
          <w:p w14:paraId="4B2D6A2C">
            <w:pPr>
              <w:spacing w:line="273" w:lineRule="auto"/>
              <w:rPr>
                <w:rFonts w:ascii="宋体" w:hAnsi="宋体"/>
                <w:color w:val="000000" w:themeColor="text1"/>
              </w:rPr>
            </w:pPr>
            <w:r>
              <w:rPr>
                <w:rFonts w:hint="eastAsia" w:ascii="宋体" w:hAnsi="宋体"/>
                <w:color w:val="000000" w:themeColor="text1"/>
              </w:rPr>
              <w:t>★（4）具有不低于2年非住宅物业管理经验。（提供证明材料，内容应该明确拟任人员姓名、业主名称、服务时间及任职岗位等）</w:t>
            </w:r>
          </w:p>
          <w:p w14:paraId="06320745">
            <w:pPr>
              <w:spacing w:line="273" w:lineRule="auto"/>
              <w:rPr>
                <w:rFonts w:ascii="宋体" w:hAnsi="宋体"/>
                <w:color w:val="000000" w:themeColor="text1"/>
              </w:rPr>
            </w:pPr>
            <w:r>
              <w:rPr>
                <w:rFonts w:hint="eastAsia" w:ascii="宋体" w:hAnsi="宋体"/>
                <w:color w:val="000000" w:themeColor="text1"/>
              </w:rPr>
              <w:t>（5）对工作有较强的管理和协调能力，责任心强。</w:t>
            </w:r>
          </w:p>
          <w:p w14:paraId="50C02F20">
            <w:pPr>
              <w:spacing w:line="273" w:lineRule="auto"/>
              <w:rPr>
                <w:rFonts w:ascii="宋体" w:hAnsi="宋体"/>
                <w:color w:val="000000" w:themeColor="text1"/>
              </w:rPr>
            </w:pPr>
            <w:r>
              <w:rPr>
                <w:rFonts w:hint="eastAsia" w:ascii="宋体" w:hAnsi="宋体"/>
                <w:color w:val="000000" w:themeColor="text1"/>
              </w:rPr>
              <w:t>★（6）长期驻点工作。</w:t>
            </w:r>
          </w:p>
          <w:p w14:paraId="2AEC78C6">
            <w:pPr>
              <w:spacing w:line="273" w:lineRule="auto"/>
              <w:ind w:left="360"/>
              <w:rPr>
                <w:rFonts w:ascii="宋体" w:hAnsi="宋体"/>
                <w:color w:val="000000" w:themeColor="text1"/>
              </w:rPr>
            </w:pPr>
            <w:r>
              <w:rPr>
                <w:rFonts w:hint="eastAsia" w:ascii="宋体" w:hAnsi="宋体"/>
                <w:color w:val="000000" w:themeColor="text1"/>
              </w:rPr>
              <w:t>提供人员2022年任意连</w:t>
            </w:r>
          </w:p>
          <w:p w14:paraId="32B310B0">
            <w:pPr>
              <w:spacing w:line="273" w:lineRule="auto"/>
              <w:rPr>
                <w:rFonts w:ascii="宋体" w:hAnsi="宋体" w:eastAsia="宋体" w:cs="宋体"/>
                <w:color w:val="000000" w:themeColor="text1"/>
                <w:szCs w:val="21"/>
              </w:rPr>
            </w:pPr>
            <w:r>
              <w:rPr>
                <w:rFonts w:hint="eastAsia" w:ascii="宋体" w:hAnsi="宋体"/>
                <w:color w:val="000000" w:themeColor="text1"/>
              </w:rPr>
              <w:t>续3月社保证明。</w:t>
            </w:r>
          </w:p>
        </w:tc>
      </w:tr>
      <w:tr w14:paraId="3435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102A7720">
            <w:pPr>
              <w:spacing w:line="273" w:lineRule="auto"/>
              <w:rPr>
                <w:rFonts w:ascii="宋体" w:hAnsi="宋体" w:eastAsia="宋体" w:cs="宋体"/>
                <w:color w:val="000000" w:themeColor="text1"/>
                <w:szCs w:val="21"/>
              </w:rPr>
            </w:pPr>
            <w:r>
              <w:rPr>
                <w:rFonts w:hint="eastAsia" w:ascii="宋体" w:hAnsi="宋体"/>
                <w:color w:val="000000" w:themeColor="text1"/>
              </w:rPr>
              <w:t>行政办公楼主管</w:t>
            </w:r>
          </w:p>
        </w:tc>
        <w:tc>
          <w:tcPr>
            <w:tcW w:w="709" w:type="dxa"/>
            <w:tcBorders>
              <w:top w:val="single" w:color="auto" w:sz="4" w:space="0"/>
              <w:left w:val="single" w:color="auto" w:sz="4" w:space="0"/>
              <w:bottom w:val="single" w:color="auto" w:sz="4" w:space="0"/>
              <w:right w:val="single" w:color="auto" w:sz="4" w:space="0"/>
            </w:tcBorders>
            <w:vAlign w:val="center"/>
          </w:tcPr>
          <w:p w14:paraId="039026C8">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14:paraId="196F51B1">
            <w:pPr>
              <w:spacing w:line="273" w:lineRule="auto"/>
              <w:rPr>
                <w:rFonts w:ascii="宋体" w:hAnsi="宋体" w:cs="宋体"/>
                <w:color w:val="000000" w:themeColor="text1"/>
                <w:szCs w:val="21"/>
              </w:rPr>
            </w:pPr>
            <w:r>
              <w:rPr>
                <w:rFonts w:hint="eastAsia" w:ascii="宋体" w:hAnsi="宋体"/>
                <w:color w:val="000000" w:themeColor="text1"/>
              </w:rPr>
              <w:t>⑴主要负责行政楼及第二办公楼的管理。</w:t>
            </w:r>
          </w:p>
          <w:p w14:paraId="0517F573">
            <w:pPr>
              <w:spacing w:line="273" w:lineRule="auto"/>
              <w:rPr>
                <w:rFonts w:ascii="宋体" w:hAnsi="宋体" w:eastAsia="宋体" w:cs="宋体"/>
                <w:color w:val="000000" w:themeColor="text1"/>
                <w:szCs w:val="21"/>
              </w:rPr>
            </w:pPr>
            <w:r>
              <w:rPr>
                <w:rFonts w:hint="eastAsia" w:ascii="宋体" w:hAnsi="宋体"/>
                <w:color w:val="000000" w:themeColor="text1"/>
              </w:rPr>
              <w:t>⑵统筹安排行政各项工作开展，兼任行政楼会议服务人员（限女性）。</w:t>
            </w:r>
          </w:p>
        </w:tc>
        <w:tc>
          <w:tcPr>
            <w:tcW w:w="2814" w:type="dxa"/>
            <w:tcBorders>
              <w:top w:val="single" w:color="auto" w:sz="4" w:space="0"/>
              <w:left w:val="single" w:color="auto" w:sz="4" w:space="0"/>
              <w:bottom w:val="single" w:color="auto" w:sz="4" w:space="0"/>
              <w:right w:val="single" w:color="auto" w:sz="4" w:space="0"/>
            </w:tcBorders>
            <w:vAlign w:val="center"/>
          </w:tcPr>
          <w:p w14:paraId="54990036">
            <w:pPr>
              <w:spacing w:line="273" w:lineRule="auto"/>
              <w:rPr>
                <w:rFonts w:ascii="宋体" w:hAnsi="宋体" w:cs="宋体"/>
                <w:color w:val="000000" w:themeColor="text1"/>
                <w:szCs w:val="21"/>
              </w:rPr>
            </w:pPr>
            <w:r>
              <w:rPr>
                <w:rFonts w:hint="eastAsia" w:ascii="宋体" w:hAnsi="宋体"/>
                <w:color w:val="000000" w:themeColor="text1"/>
              </w:rPr>
              <w:t>⑴一岗多能，责任心强，能吃苦，会办公软件和会务服务。</w:t>
            </w:r>
          </w:p>
          <w:p w14:paraId="06903D13">
            <w:pPr>
              <w:spacing w:line="273" w:lineRule="auto"/>
              <w:rPr>
                <w:rFonts w:ascii="宋体" w:hAnsi="宋体"/>
                <w:color w:val="000000" w:themeColor="text1"/>
              </w:rPr>
            </w:pPr>
            <w:r>
              <w:rPr>
                <w:rFonts w:hint="eastAsia" w:ascii="宋体" w:hAnsi="宋体"/>
                <w:color w:val="000000" w:themeColor="text1"/>
              </w:rPr>
              <w:t>⑵身体健康，相貌端正，服务意识强。</w:t>
            </w:r>
          </w:p>
          <w:p w14:paraId="36675373">
            <w:pPr>
              <w:spacing w:line="273" w:lineRule="auto"/>
              <w:rPr>
                <w:rFonts w:ascii="宋体" w:hAnsi="宋体"/>
                <w:color w:val="000000" w:themeColor="text1"/>
              </w:rPr>
            </w:pPr>
            <w:r>
              <w:rPr>
                <w:rFonts w:hint="eastAsia" w:ascii="宋体" w:hAnsi="宋体"/>
                <w:color w:val="000000" w:themeColor="text1"/>
              </w:rPr>
              <w:t>★⑶限女性，身体健康≤40岁。（提供有效身份证复印件）</w:t>
            </w:r>
          </w:p>
          <w:p w14:paraId="5D8A7787">
            <w:pPr>
              <w:spacing w:line="273" w:lineRule="auto"/>
              <w:rPr>
                <w:rFonts w:ascii="宋体" w:hAnsi="宋体"/>
                <w:color w:val="000000" w:themeColor="text1"/>
              </w:rPr>
            </w:pPr>
            <w:r>
              <w:rPr>
                <w:rFonts w:hint="eastAsia" w:ascii="宋体" w:hAnsi="宋体"/>
                <w:color w:val="000000" w:themeColor="text1"/>
              </w:rPr>
              <w:t>★（4）具有专科及以上学历。（提供学历证书复印件）</w:t>
            </w:r>
          </w:p>
          <w:p w14:paraId="3FD2FBC7">
            <w:pPr>
              <w:spacing w:line="273" w:lineRule="auto"/>
              <w:rPr>
                <w:rFonts w:ascii="宋体" w:hAnsi="宋体"/>
                <w:color w:val="000000" w:themeColor="text1"/>
              </w:rPr>
            </w:pPr>
            <w:r>
              <w:rPr>
                <w:rFonts w:hint="eastAsia" w:ascii="宋体" w:hAnsi="宋体"/>
                <w:color w:val="000000" w:themeColor="text1"/>
              </w:rPr>
              <w:t>★（5）具有普通话二级甲</w:t>
            </w:r>
          </w:p>
          <w:p w14:paraId="7B76ECC9">
            <w:pPr>
              <w:spacing w:line="273" w:lineRule="auto"/>
              <w:rPr>
                <w:rFonts w:ascii="宋体" w:hAnsi="宋体"/>
                <w:color w:val="000000" w:themeColor="text1"/>
              </w:rPr>
            </w:pPr>
            <w:r>
              <w:rPr>
                <w:rFonts w:hint="eastAsia" w:ascii="宋体" w:hAnsi="宋体"/>
                <w:color w:val="000000" w:themeColor="text1"/>
              </w:rPr>
              <w:t>等及以上证书。（提供证书复印件）</w:t>
            </w:r>
          </w:p>
          <w:p w14:paraId="48DCDA65">
            <w:pPr>
              <w:spacing w:line="273" w:lineRule="auto"/>
              <w:ind w:left="360"/>
              <w:rPr>
                <w:rFonts w:ascii="宋体" w:hAnsi="宋体"/>
                <w:color w:val="000000" w:themeColor="text1"/>
              </w:rPr>
            </w:pPr>
            <w:r>
              <w:rPr>
                <w:rFonts w:hint="eastAsia" w:ascii="宋体" w:hAnsi="宋体"/>
                <w:color w:val="000000" w:themeColor="text1"/>
              </w:rPr>
              <w:t>提供人员2022年任意连</w:t>
            </w:r>
          </w:p>
          <w:p w14:paraId="7B829E5C">
            <w:pPr>
              <w:spacing w:line="273" w:lineRule="auto"/>
              <w:rPr>
                <w:rFonts w:ascii="宋体" w:hAnsi="宋体" w:eastAsia="宋体" w:cs="宋体"/>
                <w:color w:val="000000" w:themeColor="text1"/>
                <w:szCs w:val="21"/>
              </w:rPr>
            </w:pPr>
            <w:r>
              <w:rPr>
                <w:rFonts w:hint="eastAsia" w:ascii="宋体" w:hAnsi="宋体"/>
                <w:color w:val="000000" w:themeColor="text1"/>
              </w:rPr>
              <w:t>续3月社保证明。</w:t>
            </w:r>
          </w:p>
        </w:tc>
      </w:tr>
      <w:tr w14:paraId="7441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11511DEE">
            <w:pPr>
              <w:spacing w:line="273" w:lineRule="auto"/>
              <w:rPr>
                <w:rFonts w:ascii="宋体" w:hAnsi="宋体" w:eastAsia="宋体" w:cs="宋体"/>
                <w:color w:val="000000" w:themeColor="text1"/>
                <w:szCs w:val="21"/>
              </w:rPr>
            </w:pPr>
            <w:r>
              <w:rPr>
                <w:rFonts w:hint="eastAsia" w:ascii="宋体" w:hAnsi="宋体"/>
                <w:color w:val="000000" w:themeColor="text1"/>
              </w:rPr>
              <w:t>秩序维护主管</w:t>
            </w:r>
          </w:p>
        </w:tc>
        <w:tc>
          <w:tcPr>
            <w:tcW w:w="709" w:type="dxa"/>
            <w:tcBorders>
              <w:top w:val="single" w:color="auto" w:sz="4" w:space="0"/>
              <w:left w:val="single" w:color="auto" w:sz="4" w:space="0"/>
              <w:bottom w:val="single" w:color="auto" w:sz="4" w:space="0"/>
              <w:right w:val="single" w:color="auto" w:sz="4" w:space="0"/>
            </w:tcBorders>
            <w:vAlign w:val="center"/>
          </w:tcPr>
          <w:p w14:paraId="65F27046">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14:paraId="20CF159C">
            <w:pPr>
              <w:spacing w:line="273" w:lineRule="auto"/>
              <w:rPr>
                <w:rFonts w:ascii="宋体" w:hAnsi="宋体" w:cs="宋体"/>
                <w:color w:val="000000" w:themeColor="text1"/>
                <w:szCs w:val="21"/>
              </w:rPr>
            </w:pPr>
            <w:r>
              <w:rPr>
                <w:rFonts w:hint="eastAsia" w:ascii="宋体" w:hAnsi="宋体"/>
                <w:color w:val="000000" w:themeColor="text1"/>
              </w:rPr>
              <w:t>⑴主要负责公共区域秩序维护工作的开展、落实和检查监督职责。</w:t>
            </w:r>
          </w:p>
          <w:p w14:paraId="3639BAD5">
            <w:pPr>
              <w:spacing w:line="273" w:lineRule="auto"/>
              <w:rPr>
                <w:rFonts w:ascii="宋体" w:hAnsi="宋体" w:eastAsia="宋体" w:cs="宋体"/>
                <w:color w:val="000000" w:themeColor="text1"/>
                <w:szCs w:val="21"/>
              </w:rPr>
            </w:pPr>
            <w:r>
              <w:rPr>
                <w:rFonts w:hint="eastAsia" w:ascii="宋体" w:hAnsi="宋体"/>
                <w:color w:val="000000" w:themeColor="text1"/>
              </w:rPr>
              <w:t>⑵协助项目经理处理好秩序突发事件。</w:t>
            </w:r>
          </w:p>
        </w:tc>
        <w:tc>
          <w:tcPr>
            <w:tcW w:w="2814" w:type="dxa"/>
            <w:tcBorders>
              <w:top w:val="single" w:color="auto" w:sz="4" w:space="0"/>
              <w:left w:val="single" w:color="auto" w:sz="4" w:space="0"/>
              <w:bottom w:val="single" w:color="auto" w:sz="4" w:space="0"/>
              <w:right w:val="single" w:color="auto" w:sz="4" w:space="0"/>
            </w:tcBorders>
            <w:vAlign w:val="center"/>
          </w:tcPr>
          <w:p w14:paraId="51A1A0BE">
            <w:pPr>
              <w:spacing w:line="273" w:lineRule="auto"/>
              <w:rPr>
                <w:rFonts w:ascii="宋体" w:hAnsi="宋体" w:cs="宋体"/>
                <w:color w:val="000000" w:themeColor="text1"/>
                <w:szCs w:val="21"/>
              </w:rPr>
            </w:pPr>
            <w:r>
              <w:rPr>
                <w:rFonts w:hint="eastAsia" w:ascii="宋体" w:hAnsi="宋体"/>
                <w:color w:val="000000" w:themeColor="text1"/>
              </w:rPr>
              <w:t>⑴责任心强，具有较强的安全意识和专业技能。</w:t>
            </w:r>
          </w:p>
          <w:p w14:paraId="43F96115">
            <w:pPr>
              <w:spacing w:line="273" w:lineRule="auto"/>
              <w:rPr>
                <w:rFonts w:ascii="宋体" w:hAnsi="宋体"/>
                <w:color w:val="000000" w:themeColor="text1"/>
              </w:rPr>
            </w:pPr>
            <w:r>
              <w:rPr>
                <w:rFonts w:hint="eastAsia" w:ascii="宋体" w:hAnsi="宋体"/>
                <w:color w:val="000000" w:themeColor="text1"/>
              </w:rPr>
              <w:t>⑵熟悉安保、消防的岗位职责和工作要求。</w:t>
            </w:r>
          </w:p>
          <w:p w14:paraId="28DE645F">
            <w:pPr>
              <w:spacing w:line="273" w:lineRule="auto"/>
              <w:rPr>
                <w:rFonts w:ascii="宋体" w:hAnsi="宋体" w:eastAsia="宋体" w:cs="宋体"/>
                <w:color w:val="000000" w:themeColor="text1"/>
                <w:szCs w:val="21"/>
              </w:rPr>
            </w:pPr>
            <w:r>
              <w:rPr>
                <w:rFonts w:hint="eastAsia" w:ascii="宋体" w:hAnsi="宋体"/>
                <w:color w:val="000000" w:themeColor="text1"/>
              </w:rPr>
              <w:t>★（3）男性，身体健康≤45岁（提供有效身份证复印件）</w:t>
            </w:r>
          </w:p>
        </w:tc>
      </w:tr>
      <w:tr w14:paraId="5458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4A92CF3B">
            <w:pPr>
              <w:spacing w:line="273" w:lineRule="auto"/>
              <w:rPr>
                <w:rFonts w:ascii="宋体" w:hAnsi="宋体" w:eastAsia="宋体" w:cs="宋体"/>
                <w:color w:val="000000" w:themeColor="text1"/>
                <w:szCs w:val="21"/>
              </w:rPr>
            </w:pPr>
            <w:r>
              <w:rPr>
                <w:rFonts w:hint="eastAsia" w:ascii="宋体" w:hAnsi="宋体"/>
                <w:color w:val="000000" w:themeColor="text1"/>
              </w:rPr>
              <w:t>环境维护主管</w:t>
            </w:r>
          </w:p>
        </w:tc>
        <w:tc>
          <w:tcPr>
            <w:tcW w:w="709" w:type="dxa"/>
            <w:tcBorders>
              <w:top w:val="single" w:color="auto" w:sz="4" w:space="0"/>
              <w:left w:val="single" w:color="auto" w:sz="4" w:space="0"/>
              <w:bottom w:val="single" w:color="auto" w:sz="4" w:space="0"/>
              <w:right w:val="single" w:color="auto" w:sz="4" w:space="0"/>
            </w:tcBorders>
            <w:vAlign w:val="center"/>
          </w:tcPr>
          <w:p w14:paraId="7D1FC062">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14:paraId="2A09C16E">
            <w:pPr>
              <w:spacing w:line="273" w:lineRule="auto"/>
              <w:rPr>
                <w:rFonts w:ascii="宋体" w:hAnsi="宋体" w:cs="宋体"/>
                <w:color w:val="000000" w:themeColor="text1"/>
                <w:szCs w:val="21"/>
              </w:rPr>
            </w:pPr>
            <w:r>
              <w:rPr>
                <w:rFonts w:hint="eastAsia" w:ascii="宋体" w:hAnsi="宋体"/>
                <w:color w:val="000000" w:themeColor="text1"/>
              </w:rPr>
              <w:t>⑴对物业服务公共区域各处的日常保洁以及在管教室保洁工作进行安排、检查和管理。</w:t>
            </w:r>
          </w:p>
          <w:p w14:paraId="0984EBDA">
            <w:pPr>
              <w:spacing w:line="273" w:lineRule="auto"/>
              <w:rPr>
                <w:rFonts w:ascii="宋体" w:hAnsi="宋体"/>
                <w:color w:val="000000" w:themeColor="text1"/>
              </w:rPr>
            </w:pPr>
            <w:r>
              <w:rPr>
                <w:rFonts w:hint="eastAsia" w:ascii="宋体" w:hAnsi="宋体"/>
                <w:color w:val="000000" w:themeColor="text1"/>
              </w:rPr>
              <w:t>⑵对所有保洁员工的工作进行安排、培训。</w:t>
            </w:r>
          </w:p>
          <w:p w14:paraId="3572748B">
            <w:pPr>
              <w:spacing w:line="273" w:lineRule="auto"/>
              <w:rPr>
                <w:rFonts w:ascii="宋体" w:hAnsi="宋体" w:eastAsia="宋体" w:cs="宋体"/>
                <w:color w:val="000000" w:themeColor="text1"/>
                <w:szCs w:val="21"/>
              </w:rPr>
            </w:pPr>
            <w:r>
              <w:rPr>
                <w:rFonts w:hint="eastAsia" w:ascii="宋体" w:hAnsi="宋体"/>
                <w:color w:val="000000" w:themeColor="text1"/>
              </w:rPr>
              <w:t>⑶完成业主安排的其他临时性工作。</w:t>
            </w:r>
          </w:p>
        </w:tc>
        <w:tc>
          <w:tcPr>
            <w:tcW w:w="2814" w:type="dxa"/>
            <w:tcBorders>
              <w:top w:val="single" w:color="auto" w:sz="4" w:space="0"/>
              <w:left w:val="single" w:color="auto" w:sz="4" w:space="0"/>
              <w:bottom w:val="single" w:color="auto" w:sz="4" w:space="0"/>
              <w:right w:val="single" w:color="auto" w:sz="4" w:space="0"/>
            </w:tcBorders>
            <w:vAlign w:val="center"/>
          </w:tcPr>
          <w:p w14:paraId="267514D7">
            <w:pPr>
              <w:spacing w:line="273" w:lineRule="auto"/>
              <w:rPr>
                <w:rFonts w:ascii="宋体" w:hAnsi="宋体" w:cs="宋体"/>
                <w:color w:val="000000" w:themeColor="text1"/>
                <w:szCs w:val="21"/>
              </w:rPr>
            </w:pPr>
            <w:r>
              <w:rPr>
                <w:rFonts w:hint="eastAsia" w:ascii="宋体" w:hAnsi="宋体"/>
                <w:color w:val="000000" w:themeColor="text1"/>
              </w:rPr>
              <w:t>⑴具有较强的专业技术、管理和协调能力。</w:t>
            </w:r>
          </w:p>
          <w:p w14:paraId="705B0BD8">
            <w:pPr>
              <w:spacing w:line="273" w:lineRule="auto"/>
              <w:rPr>
                <w:rFonts w:ascii="宋体" w:hAnsi="宋体" w:eastAsia="宋体" w:cs="宋体"/>
                <w:color w:val="000000" w:themeColor="text1"/>
                <w:szCs w:val="21"/>
              </w:rPr>
            </w:pPr>
            <w:r>
              <w:rPr>
                <w:rFonts w:hint="eastAsia" w:ascii="宋体" w:hAnsi="宋体"/>
                <w:color w:val="000000" w:themeColor="text1"/>
              </w:rPr>
              <w:t>⑵负责日常卫生质量的管理检查工作，实行规范作业。⑶每天至少巡查两次。</w:t>
            </w:r>
          </w:p>
        </w:tc>
      </w:tr>
      <w:tr w14:paraId="7B10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4DA29446">
            <w:pPr>
              <w:spacing w:line="273" w:lineRule="auto"/>
              <w:rPr>
                <w:rFonts w:ascii="宋体" w:hAnsi="宋体" w:eastAsia="宋体" w:cs="宋体"/>
                <w:color w:val="000000" w:themeColor="text1"/>
                <w:szCs w:val="21"/>
              </w:rPr>
            </w:pPr>
            <w:r>
              <w:rPr>
                <w:rFonts w:hint="eastAsia" w:ascii="宋体" w:hAnsi="宋体"/>
                <w:color w:val="000000" w:themeColor="text1"/>
              </w:rPr>
              <w:t>工程技术主管</w:t>
            </w:r>
          </w:p>
        </w:tc>
        <w:tc>
          <w:tcPr>
            <w:tcW w:w="709" w:type="dxa"/>
            <w:tcBorders>
              <w:top w:val="single" w:color="auto" w:sz="4" w:space="0"/>
              <w:left w:val="single" w:color="auto" w:sz="4" w:space="0"/>
              <w:bottom w:val="single" w:color="auto" w:sz="4" w:space="0"/>
              <w:right w:val="single" w:color="auto" w:sz="4" w:space="0"/>
            </w:tcBorders>
            <w:vAlign w:val="center"/>
          </w:tcPr>
          <w:p w14:paraId="40F1D4BD">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14:paraId="716970FD">
            <w:pPr>
              <w:numPr>
                <w:ilvl w:val="0"/>
                <w:numId w:val="7"/>
              </w:numPr>
              <w:spacing w:line="273" w:lineRule="auto"/>
              <w:rPr>
                <w:rFonts w:ascii="宋体" w:hAnsi="宋体" w:cs="宋体"/>
                <w:color w:val="000000" w:themeColor="text1"/>
                <w:szCs w:val="21"/>
              </w:rPr>
            </w:pPr>
            <w:r>
              <w:rPr>
                <w:rFonts w:hint="eastAsia" w:ascii="宋体" w:hAnsi="宋体"/>
                <w:color w:val="000000" w:themeColor="text1"/>
              </w:rPr>
              <w:t>要负责行政楼、二办公区、行政楼旁原锦地苑浴室办公区、五六教设施设备的检查和维护。</w:t>
            </w:r>
          </w:p>
          <w:p w14:paraId="40CA497E">
            <w:pPr>
              <w:spacing w:line="273" w:lineRule="auto"/>
              <w:rPr>
                <w:rFonts w:ascii="宋体" w:hAnsi="宋体"/>
                <w:color w:val="000000" w:themeColor="text1"/>
              </w:rPr>
            </w:pPr>
            <w:r>
              <w:rPr>
                <w:rFonts w:hint="eastAsia" w:ascii="宋体" w:hAnsi="宋体"/>
                <w:color w:val="000000" w:themeColor="text1"/>
              </w:rPr>
              <w:t>⑵对高低压配电房等设备进行定期检查和保养。</w:t>
            </w:r>
          </w:p>
          <w:p w14:paraId="37282FDD">
            <w:pPr>
              <w:spacing w:line="273" w:lineRule="auto"/>
              <w:rPr>
                <w:rFonts w:ascii="宋体" w:hAnsi="宋体" w:eastAsia="宋体" w:cs="宋体"/>
                <w:color w:val="000000" w:themeColor="text1"/>
                <w:szCs w:val="21"/>
              </w:rPr>
            </w:pPr>
            <w:r>
              <w:rPr>
                <w:rFonts w:hint="eastAsia" w:ascii="宋体" w:hAnsi="宋体"/>
                <w:color w:val="000000" w:themeColor="text1"/>
              </w:rPr>
              <w:t>⑶协助维保公司进行电梯检查维修等。</w:t>
            </w:r>
          </w:p>
        </w:tc>
        <w:tc>
          <w:tcPr>
            <w:tcW w:w="2814" w:type="dxa"/>
            <w:tcBorders>
              <w:top w:val="single" w:color="auto" w:sz="4" w:space="0"/>
              <w:left w:val="single" w:color="auto" w:sz="4" w:space="0"/>
              <w:bottom w:val="single" w:color="auto" w:sz="4" w:space="0"/>
              <w:right w:val="single" w:color="auto" w:sz="4" w:space="0"/>
            </w:tcBorders>
            <w:vAlign w:val="center"/>
          </w:tcPr>
          <w:p w14:paraId="1FE744FD">
            <w:pPr>
              <w:spacing w:line="273" w:lineRule="auto"/>
              <w:rPr>
                <w:rFonts w:ascii="宋体" w:hAnsi="宋体" w:cs="宋体"/>
                <w:color w:val="000000" w:themeColor="text1"/>
                <w:szCs w:val="21"/>
              </w:rPr>
            </w:pPr>
            <w:r>
              <w:rPr>
                <w:rFonts w:hint="eastAsia" w:ascii="宋体" w:hAnsi="宋体"/>
                <w:color w:val="000000" w:themeColor="text1"/>
              </w:rPr>
              <w:t>⑴具有较强的专业技术、管理和协调能力。</w:t>
            </w:r>
          </w:p>
          <w:p w14:paraId="34B2729D">
            <w:pPr>
              <w:spacing w:line="273" w:lineRule="auto"/>
              <w:rPr>
                <w:rFonts w:ascii="宋体" w:hAnsi="宋体"/>
                <w:color w:val="000000" w:themeColor="text1"/>
              </w:rPr>
            </w:pPr>
            <w:r>
              <w:rPr>
                <w:rFonts w:hint="eastAsia" w:ascii="宋体" w:hAnsi="宋体"/>
                <w:color w:val="000000" w:themeColor="text1"/>
              </w:rPr>
              <w:t>⑵每天至少巡查两次。</w:t>
            </w:r>
          </w:p>
          <w:p w14:paraId="4F6196CF">
            <w:pPr>
              <w:spacing w:line="273" w:lineRule="auto"/>
              <w:rPr>
                <w:rFonts w:ascii="宋体" w:hAnsi="宋体" w:eastAsia="宋体" w:cs="宋体"/>
                <w:color w:val="000000" w:themeColor="text1"/>
                <w:szCs w:val="21"/>
              </w:rPr>
            </w:pPr>
            <w:r>
              <w:rPr>
                <w:rFonts w:hint="eastAsia" w:ascii="宋体" w:hAnsi="宋体"/>
                <w:color w:val="000000" w:themeColor="text1"/>
              </w:rPr>
              <w:t>★(3) 具有专科及以上学历。（提供学历证书复印件）</w:t>
            </w:r>
          </w:p>
        </w:tc>
      </w:tr>
      <w:tr w14:paraId="044F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464D5C46">
            <w:pPr>
              <w:spacing w:line="273" w:lineRule="auto"/>
              <w:rPr>
                <w:rFonts w:ascii="宋体" w:hAnsi="宋体" w:eastAsia="宋体" w:cs="宋体"/>
                <w:color w:val="000000" w:themeColor="text1"/>
                <w:szCs w:val="21"/>
              </w:rPr>
            </w:pPr>
            <w:r>
              <w:rPr>
                <w:rFonts w:hint="eastAsia" w:ascii="宋体" w:hAnsi="宋体"/>
                <w:color w:val="000000" w:themeColor="text1"/>
              </w:rPr>
              <w:t>客服服务</w:t>
            </w:r>
          </w:p>
        </w:tc>
        <w:tc>
          <w:tcPr>
            <w:tcW w:w="709" w:type="dxa"/>
            <w:tcBorders>
              <w:top w:val="single" w:color="auto" w:sz="4" w:space="0"/>
              <w:left w:val="single" w:color="auto" w:sz="4" w:space="0"/>
              <w:bottom w:val="single" w:color="auto" w:sz="4" w:space="0"/>
              <w:right w:val="single" w:color="auto" w:sz="4" w:space="0"/>
            </w:tcBorders>
            <w:vAlign w:val="center"/>
          </w:tcPr>
          <w:p w14:paraId="67075071">
            <w:pPr>
              <w:spacing w:line="273" w:lineRule="auto"/>
              <w:rPr>
                <w:rFonts w:ascii="宋体" w:hAnsi="宋体" w:eastAsia="宋体" w:cs="宋体"/>
                <w:color w:val="000000" w:themeColor="text1"/>
                <w:szCs w:val="21"/>
              </w:rPr>
            </w:pPr>
            <w:r>
              <w:rPr>
                <w:rFonts w:hint="eastAsia" w:ascii="宋体" w:hAnsi="宋体"/>
                <w:color w:val="000000" w:themeColor="text1"/>
              </w:rPr>
              <w:t>5人</w:t>
            </w:r>
          </w:p>
        </w:tc>
        <w:tc>
          <w:tcPr>
            <w:tcW w:w="4394" w:type="dxa"/>
            <w:tcBorders>
              <w:top w:val="single" w:color="auto" w:sz="4" w:space="0"/>
              <w:left w:val="single" w:color="auto" w:sz="4" w:space="0"/>
              <w:bottom w:val="single" w:color="auto" w:sz="4" w:space="0"/>
              <w:right w:val="single" w:color="auto" w:sz="4" w:space="0"/>
            </w:tcBorders>
            <w:vAlign w:val="center"/>
          </w:tcPr>
          <w:p w14:paraId="0CF59427">
            <w:pPr>
              <w:spacing w:line="273" w:lineRule="auto"/>
              <w:rPr>
                <w:rFonts w:ascii="宋体" w:hAnsi="宋体" w:cs="宋体"/>
                <w:color w:val="000000" w:themeColor="text1"/>
                <w:szCs w:val="21"/>
              </w:rPr>
            </w:pPr>
            <w:r>
              <w:rPr>
                <w:rFonts w:hint="eastAsia" w:ascii="宋体" w:hAnsi="宋体"/>
                <w:color w:val="000000" w:themeColor="text1"/>
              </w:rPr>
              <w:t>⑴行政楼4人，主要负责前台接待咨询、指引、会议服务和档案管理等工作；及时收集意见，做好记录并协助处理。</w:t>
            </w:r>
          </w:p>
          <w:p w14:paraId="490567F4">
            <w:pPr>
              <w:spacing w:line="273" w:lineRule="auto"/>
              <w:rPr>
                <w:rFonts w:ascii="宋体" w:hAnsi="宋体"/>
                <w:color w:val="000000" w:themeColor="text1"/>
              </w:rPr>
            </w:pPr>
            <w:r>
              <w:rPr>
                <w:rFonts w:hint="eastAsia" w:ascii="宋体" w:hAnsi="宋体"/>
                <w:color w:val="000000" w:themeColor="text1"/>
              </w:rPr>
              <w:t>⑵五六教1人，主要负责电话接听和来人来访接待，协助做好教务、教室安排工作。</w:t>
            </w:r>
          </w:p>
          <w:p w14:paraId="057E3C76">
            <w:pPr>
              <w:spacing w:line="273" w:lineRule="auto"/>
              <w:rPr>
                <w:rFonts w:ascii="宋体" w:hAnsi="宋体" w:eastAsia="宋体" w:cs="宋体"/>
                <w:color w:val="000000" w:themeColor="text1"/>
                <w:szCs w:val="21"/>
              </w:rPr>
            </w:pPr>
            <w:r>
              <w:rPr>
                <w:rFonts w:hint="eastAsia" w:ascii="宋体" w:hAnsi="宋体"/>
                <w:color w:val="000000" w:themeColor="text1"/>
              </w:rPr>
              <w:t>⑶做好师生报修、维修记录，负责与工程部沟通、协调，做好维修回访。</w:t>
            </w:r>
          </w:p>
        </w:tc>
        <w:tc>
          <w:tcPr>
            <w:tcW w:w="2814" w:type="dxa"/>
            <w:tcBorders>
              <w:top w:val="single" w:color="auto" w:sz="4" w:space="0"/>
              <w:left w:val="single" w:color="auto" w:sz="4" w:space="0"/>
              <w:bottom w:val="single" w:color="auto" w:sz="4" w:space="0"/>
              <w:right w:val="single" w:color="auto" w:sz="4" w:space="0"/>
            </w:tcBorders>
            <w:vAlign w:val="center"/>
          </w:tcPr>
          <w:p w14:paraId="318F0ACF">
            <w:pPr>
              <w:numPr>
                <w:ilvl w:val="0"/>
                <w:numId w:val="8"/>
              </w:numPr>
              <w:spacing w:line="273" w:lineRule="auto"/>
              <w:rPr>
                <w:rFonts w:ascii="宋体" w:hAnsi="宋体" w:cs="宋体"/>
                <w:color w:val="000000" w:themeColor="text1"/>
                <w:szCs w:val="21"/>
              </w:rPr>
            </w:pPr>
            <w:r>
              <w:rPr>
                <w:rFonts w:hint="eastAsia" w:ascii="宋体" w:hAnsi="宋体"/>
                <w:color w:val="000000" w:themeColor="text1"/>
              </w:rPr>
              <w:t>★身高160CM以上，限女</w:t>
            </w:r>
          </w:p>
          <w:p w14:paraId="0A45338F">
            <w:pPr>
              <w:spacing w:line="273" w:lineRule="auto"/>
              <w:rPr>
                <w:rFonts w:ascii="宋体" w:hAnsi="宋体"/>
                <w:color w:val="000000" w:themeColor="text1"/>
              </w:rPr>
            </w:pPr>
            <w:r>
              <w:rPr>
                <w:rFonts w:hint="eastAsia" w:ascii="宋体" w:hAnsi="宋体"/>
                <w:color w:val="000000" w:themeColor="text1"/>
              </w:rPr>
              <w:t>性, 身体健康≤40岁。（提供有效身份证复印件）</w:t>
            </w:r>
          </w:p>
          <w:p w14:paraId="20025417">
            <w:pPr>
              <w:spacing w:line="273" w:lineRule="auto"/>
              <w:rPr>
                <w:rFonts w:ascii="宋体" w:hAnsi="宋体"/>
                <w:color w:val="000000" w:themeColor="text1"/>
              </w:rPr>
            </w:pPr>
            <w:r>
              <w:rPr>
                <w:rFonts w:hint="eastAsia" w:ascii="宋体" w:hAnsi="宋体"/>
                <w:color w:val="000000" w:themeColor="text1"/>
              </w:rPr>
              <w:t>⑵具有良好的沟通及协调能力。</w:t>
            </w:r>
          </w:p>
          <w:p w14:paraId="3B287E15">
            <w:pPr>
              <w:spacing w:line="273" w:lineRule="auto"/>
              <w:rPr>
                <w:rFonts w:ascii="宋体" w:hAnsi="宋体" w:eastAsia="宋体" w:cs="宋体"/>
                <w:color w:val="000000" w:themeColor="text1"/>
                <w:szCs w:val="21"/>
              </w:rPr>
            </w:pPr>
            <w:r>
              <w:rPr>
                <w:rFonts w:hint="eastAsia" w:ascii="宋体" w:hAnsi="宋体"/>
                <w:color w:val="000000" w:themeColor="text1"/>
              </w:rPr>
              <w:t>⑶具有良好的服务意识，懂得基本的办公软件操作。</w:t>
            </w:r>
          </w:p>
        </w:tc>
      </w:tr>
      <w:tr w14:paraId="6D93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5D9B91CA">
            <w:pPr>
              <w:spacing w:line="273" w:lineRule="auto"/>
              <w:rPr>
                <w:rFonts w:ascii="宋体" w:hAnsi="宋体" w:eastAsia="宋体" w:cs="宋体"/>
                <w:color w:val="000000" w:themeColor="text1"/>
                <w:szCs w:val="21"/>
              </w:rPr>
            </w:pPr>
            <w:r>
              <w:rPr>
                <w:rFonts w:hint="eastAsia" w:ascii="宋体" w:hAnsi="宋体"/>
                <w:color w:val="000000" w:themeColor="text1"/>
              </w:rPr>
              <w:t>秩序维护</w:t>
            </w:r>
          </w:p>
        </w:tc>
        <w:tc>
          <w:tcPr>
            <w:tcW w:w="709" w:type="dxa"/>
            <w:tcBorders>
              <w:top w:val="single" w:color="auto" w:sz="4" w:space="0"/>
              <w:left w:val="single" w:color="auto" w:sz="4" w:space="0"/>
              <w:bottom w:val="single" w:color="auto" w:sz="4" w:space="0"/>
              <w:right w:val="single" w:color="auto" w:sz="4" w:space="0"/>
            </w:tcBorders>
            <w:vAlign w:val="center"/>
          </w:tcPr>
          <w:p w14:paraId="02093073">
            <w:pPr>
              <w:spacing w:line="273" w:lineRule="auto"/>
              <w:rPr>
                <w:rFonts w:ascii="宋体" w:hAnsi="宋体" w:eastAsia="宋体" w:cs="宋体"/>
                <w:color w:val="000000" w:themeColor="text1"/>
                <w:szCs w:val="21"/>
              </w:rPr>
            </w:pPr>
            <w:r>
              <w:rPr>
                <w:rFonts w:hint="eastAsia" w:ascii="宋体" w:hAnsi="宋体"/>
                <w:color w:val="000000" w:themeColor="text1"/>
              </w:rPr>
              <w:t>29人</w:t>
            </w:r>
          </w:p>
        </w:tc>
        <w:tc>
          <w:tcPr>
            <w:tcW w:w="4394" w:type="dxa"/>
            <w:tcBorders>
              <w:top w:val="single" w:color="auto" w:sz="4" w:space="0"/>
              <w:left w:val="single" w:color="auto" w:sz="4" w:space="0"/>
              <w:bottom w:val="single" w:color="auto" w:sz="4" w:space="0"/>
              <w:right w:val="single" w:color="auto" w:sz="4" w:space="0"/>
            </w:tcBorders>
            <w:vAlign w:val="center"/>
          </w:tcPr>
          <w:p w14:paraId="0D5B8E70">
            <w:pPr>
              <w:spacing w:line="273" w:lineRule="auto"/>
              <w:rPr>
                <w:rFonts w:ascii="宋体" w:hAnsi="宋体" w:cs="宋体"/>
                <w:color w:val="000000" w:themeColor="text1"/>
                <w:szCs w:val="21"/>
              </w:rPr>
            </w:pPr>
            <w:r>
              <w:rPr>
                <w:rFonts w:hint="eastAsia" w:ascii="宋体" w:hAnsi="宋体"/>
                <w:color w:val="000000" w:themeColor="text1"/>
              </w:rPr>
              <w:t>⑴行政楼6人，主要负责行政楼及第二办公楼公共区域秩序维护工作，负责检查及上报安全隐患，负责车辆的指引和管理工作。</w:t>
            </w:r>
          </w:p>
          <w:p w14:paraId="30F91AA6">
            <w:pPr>
              <w:spacing w:line="273" w:lineRule="auto"/>
              <w:rPr>
                <w:rFonts w:ascii="宋体" w:hAnsi="宋体" w:eastAsia="宋体" w:cs="宋体"/>
                <w:color w:val="000000" w:themeColor="text1"/>
                <w:szCs w:val="21"/>
              </w:rPr>
            </w:pPr>
            <w:r>
              <w:rPr>
                <w:rFonts w:hint="eastAsia" w:ascii="宋体" w:hAnsi="宋体"/>
                <w:color w:val="000000" w:themeColor="text1"/>
              </w:rPr>
              <w:t>⑵五六教23人，主要负责公共区域的秩序维护工作，排查可疑人员，制止不符合规范行为，负责教室及机柜的开关。</w:t>
            </w:r>
          </w:p>
        </w:tc>
        <w:tc>
          <w:tcPr>
            <w:tcW w:w="2814" w:type="dxa"/>
            <w:tcBorders>
              <w:top w:val="single" w:color="auto" w:sz="4" w:space="0"/>
              <w:left w:val="single" w:color="auto" w:sz="4" w:space="0"/>
              <w:bottom w:val="single" w:color="auto" w:sz="4" w:space="0"/>
              <w:right w:val="single" w:color="auto" w:sz="4" w:space="0"/>
            </w:tcBorders>
            <w:vAlign w:val="center"/>
          </w:tcPr>
          <w:p w14:paraId="6559C319">
            <w:pPr>
              <w:spacing w:line="273" w:lineRule="auto"/>
              <w:rPr>
                <w:rFonts w:ascii="宋体" w:hAnsi="宋体" w:cs="宋体"/>
                <w:color w:val="000000" w:themeColor="text1"/>
                <w:szCs w:val="21"/>
              </w:rPr>
            </w:pPr>
            <w:r>
              <w:rPr>
                <w:rFonts w:hint="eastAsia" w:ascii="宋体" w:hAnsi="宋体"/>
                <w:color w:val="000000" w:themeColor="text1"/>
              </w:rPr>
              <w:t>⑴具有良好的服务意识。</w:t>
            </w:r>
          </w:p>
          <w:p w14:paraId="48523E21">
            <w:pPr>
              <w:spacing w:line="273" w:lineRule="auto"/>
              <w:rPr>
                <w:rFonts w:ascii="宋体" w:hAnsi="宋体" w:eastAsia="宋体" w:cs="宋体"/>
                <w:color w:val="000000" w:themeColor="text1"/>
                <w:szCs w:val="21"/>
              </w:rPr>
            </w:pPr>
            <w:r>
              <w:rPr>
                <w:rFonts w:hint="eastAsia" w:ascii="宋体" w:hAnsi="宋体"/>
                <w:color w:val="000000" w:themeColor="text1"/>
              </w:rPr>
              <w:t>⑵身体健康，具有吃苦耐劳精神，具有良好的服务意识。</w:t>
            </w:r>
          </w:p>
        </w:tc>
      </w:tr>
      <w:tr w14:paraId="1769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2449EDCD">
            <w:pPr>
              <w:spacing w:line="273" w:lineRule="auto"/>
              <w:rPr>
                <w:rFonts w:ascii="宋体" w:hAnsi="宋体" w:eastAsia="宋体" w:cs="宋体"/>
                <w:color w:val="000000" w:themeColor="text1"/>
                <w:szCs w:val="21"/>
              </w:rPr>
            </w:pPr>
            <w:r>
              <w:rPr>
                <w:rFonts w:hint="eastAsia" w:ascii="宋体" w:hAnsi="宋体"/>
                <w:color w:val="000000" w:themeColor="text1"/>
              </w:rPr>
              <w:t>保洁维护</w:t>
            </w:r>
          </w:p>
        </w:tc>
        <w:tc>
          <w:tcPr>
            <w:tcW w:w="709" w:type="dxa"/>
            <w:tcBorders>
              <w:top w:val="single" w:color="auto" w:sz="4" w:space="0"/>
              <w:left w:val="single" w:color="auto" w:sz="4" w:space="0"/>
              <w:bottom w:val="single" w:color="auto" w:sz="4" w:space="0"/>
              <w:right w:val="single" w:color="auto" w:sz="4" w:space="0"/>
            </w:tcBorders>
            <w:vAlign w:val="center"/>
          </w:tcPr>
          <w:p w14:paraId="6278B357">
            <w:pPr>
              <w:spacing w:line="273" w:lineRule="auto"/>
              <w:rPr>
                <w:rFonts w:ascii="宋体" w:hAnsi="宋体" w:eastAsia="宋体" w:cs="宋体"/>
                <w:color w:val="000000" w:themeColor="text1"/>
                <w:szCs w:val="21"/>
              </w:rPr>
            </w:pPr>
            <w:r>
              <w:rPr>
                <w:rFonts w:hint="eastAsia" w:ascii="宋体" w:hAnsi="宋体"/>
                <w:color w:val="000000" w:themeColor="text1"/>
              </w:rPr>
              <w:t>43人</w:t>
            </w:r>
          </w:p>
        </w:tc>
        <w:tc>
          <w:tcPr>
            <w:tcW w:w="4394" w:type="dxa"/>
            <w:tcBorders>
              <w:top w:val="single" w:color="auto" w:sz="4" w:space="0"/>
              <w:left w:val="single" w:color="auto" w:sz="4" w:space="0"/>
              <w:bottom w:val="single" w:color="auto" w:sz="4" w:space="0"/>
              <w:right w:val="single" w:color="auto" w:sz="4" w:space="0"/>
            </w:tcBorders>
            <w:vAlign w:val="center"/>
          </w:tcPr>
          <w:p w14:paraId="70C4766F">
            <w:pPr>
              <w:spacing w:line="273" w:lineRule="auto"/>
              <w:rPr>
                <w:rFonts w:ascii="宋体" w:hAnsi="宋体" w:cs="宋体"/>
                <w:color w:val="000000" w:themeColor="text1"/>
                <w:szCs w:val="21"/>
              </w:rPr>
            </w:pPr>
            <w:r>
              <w:rPr>
                <w:rFonts w:hint="eastAsia" w:ascii="宋体" w:hAnsi="宋体"/>
                <w:color w:val="000000" w:themeColor="text1"/>
              </w:rPr>
              <w:t>⑴行政楼7人，其中包含1名校领导办公室打扫人员。</w:t>
            </w:r>
          </w:p>
          <w:p w14:paraId="754875B0">
            <w:pPr>
              <w:spacing w:line="273" w:lineRule="auto"/>
              <w:rPr>
                <w:rFonts w:ascii="宋体" w:hAnsi="宋体"/>
                <w:color w:val="000000" w:themeColor="text1"/>
              </w:rPr>
            </w:pPr>
            <w:r>
              <w:rPr>
                <w:rFonts w:hint="eastAsia" w:ascii="宋体" w:hAnsi="宋体"/>
                <w:color w:val="000000" w:themeColor="text1"/>
              </w:rPr>
              <w:t>⑵第二办公楼1人。</w:t>
            </w:r>
          </w:p>
          <w:p w14:paraId="746AEEA4">
            <w:pPr>
              <w:spacing w:line="273" w:lineRule="auto"/>
              <w:rPr>
                <w:rFonts w:ascii="宋体" w:hAnsi="宋体"/>
                <w:color w:val="000000" w:themeColor="text1"/>
              </w:rPr>
            </w:pPr>
            <w:r>
              <w:rPr>
                <w:rFonts w:hint="eastAsia" w:ascii="宋体" w:hAnsi="宋体"/>
                <w:color w:val="000000" w:themeColor="text1"/>
              </w:rPr>
              <w:t>⑶五六教32人，其中包含教室打扫人员。</w:t>
            </w:r>
          </w:p>
          <w:p w14:paraId="243169AE">
            <w:pPr>
              <w:spacing w:line="273" w:lineRule="auto"/>
              <w:rPr>
                <w:rFonts w:ascii="宋体" w:hAnsi="宋体" w:eastAsia="宋体" w:cs="宋体"/>
                <w:color w:val="000000" w:themeColor="text1"/>
                <w:szCs w:val="21"/>
              </w:rPr>
            </w:pPr>
            <w:r>
              <w:rPr>
                <w:rFonts w:hint="eastAsia" w:ascii="宋体" w:hAnsi="宋体"/>
                <w:color w:val="000000" w:themeColor="text1"/>
              </w:rPr>
              <w:t>清运垃圾1人。</w:t>
            </w:r>
          </w:p>
        </w:tc>
        <w:tc>
          <w:tcPr>
            <w:tcW w:w="2814" w:type="dxa"/>
            <w:tcBorders>
              <w:top w:val="single" w:color="auto" w:sz="4" w:space="0"/>
              <w:left w:val="single" w:color="auto" w:sz="4" w:space="0"/>
              <w:bottom w:val="single" w:color="auto" w:sz="4" w:space="0"/>
              <w:right w:val="single" w:color="auto" w:sz="4" w:space="0"/>
            </w:tcBorders>
            <w:vAlign w:val="center"/>
          </w:tcPr>
          <w:p w14:paraId="741A52BC">
            <w:pPr>
              <w:spacing w:line="273" w:lineRule="auto"/>
              <w:rPr>
                <w:rFonts w:ascii="宋体" w:hAnsi="宋体" w:cs="宋体"/>
                <w:color w:val="000000" w:themeColor="text1"/>
                <w:szCs w:val="21"/>
              </w:rPr>
            </w:pPr>
            <w:r>
              <w:rPr>
                <w:rFonts w:hint="eastAsia" w:ascii="宋体" w:hAnsi="宋体"/>
                <w:color w:val="000000" w:themeColor="text1"/>
              </w:rPr>
              <w:t>⑴具有吃苦耐劳的精神。</w:t>
            </w:r>
          </w:p>
          <w:p w14:paraId="131DAF77">
            <w:pPr>
              <w:spacing w:line="273" w:lineRule="auto"/>
              <w:rPr>
                <w:rFonts w:ascii="宋体" w:hAnsi="宋体" w:eastAsia="宋体" w:cs="宋体"/>
                <w:color w:val="000000" w:themeColor="text1"/>
                <w:szCs w:val="21"/>
              </w:rPr>
            </w:pPr>
            <w:r>
              <w:rPr>
                <w:rFonts w:hint="eastAsia" w:ascii="宋体" w:hAnsi="宋体"/>
                <w:color w:val="000000" w:themeColor="text1"/>
              </w:rPr>
              <w:t>⑵具有良好的服务意识。</w:t>
            </w:r>
          </w:p>
        </w:tc>
      </w:tr>
      <w:tr w14:paraId="1E86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14119F25">
            <w:pPr>
              <w:spacing w:line="273" w:lineRule="auto"/>
              <w:rPr>
                <w:rFonts w:ascii="宋体" w:hAnsi="宋体" w:eastAsia="宋体" w:cs="宋体"/>
                <w:color w:val="000000" w:themeColor="text1"/>
                <w:szCs w:val="21"/>
              </w:rPr>
            </w:pPr>
            <w:r>
              <w:rPr>
                <w:rFonts w:hint="eastAsia" w:ascii="宋体" w:hAnsi="宋体"/>
                <w:color w:val="000000" w:themeColor="text1"/>
              </w:rPr>
              <w:t>绿化服务</w:t>
            </w:r>
          </w:p>
        </w:tc>
        <w:tc>
          <w:tcPr>
            <w:tcW w:w="709" w:type="dxa"/>
            <w:tcBorders>
              <w:top w:val="single" w:color="auto" w:sz="4" w:space="0"/>
              <w:left w:val="single" w:color="auto" w:sz="4" w:space="0"/>
              <w:bottom w:val="single" w:color="auto" w:sz="4" w:space="0"/>
              <w:right w:val="single" w:color="auto" w:sz="4" w:space="0"/>
            </w:tcBorders>
            <w:vAlign w:val="center"/>
          </w:tcPr>
          <w:p w14:paraId="7162AE60">
            <w:pPr>
              <w:spacing w:line="273" w:lineRule="auto"/>
              <w:rPr>
                <w:rFonts w:ascii="宋体" w:hAnsi="宋体" w:eastAsia="宋体" w:cs="宋体"/>
                <w:color w:val="000000" w:themeColor="text1"/>
                <w:szCs w:val="21"/>
              </w:rPr>
            </w:pPr>
            <w:r>
              <w:rPr>
                <w:rFonts w:hint="eastAsia" w:ascii="宋体" w:hAnsi="宋体"/>
                <w:color w:val="000000" w:themeColor="text1"/>
              </w:rPr>
              <w:t>2人</w:t>
            </w:r>
          </w:p>
        </w:tc>
        <w:tc>
          <w:tcPr>
            <w:tcW w:w="4394" w:type="dxa"/>
            <w:tcBorders>
              <w:top w:val="single" w:color="auto" w:sz="4" w:space="0"/>
              <w:left w:val="single" w:color="auto" w:sz="4" w:space="0"/>
              <w:bottom w:val="single" w:color="auto" w:sz="4" w:space="0"/>
              <w:right w:val="single" w:color="auto" w:sz="4" w:space="0"/>
            </w:tcBorders>
            <w:vAlign w:val="center"/>
          </w:tcPr>
          <w:p w14:paraId="2C94EB37">
            <w:pPr>
              <w:spacing w:line="273" w:lineRule="auto"/>
              <w:rPr>
                <w:rFonts w:ascii="宋体" w:hAnsi="宋体" w:cs="宋体"/>
                <w:color w:val="000000" w:themeColor="text1"/>
                <w:szCs w:val="21"/>
              </w:rPr>
            </w:pPr>
            <w:r>
              <w:rPr>
                <w:rFonts w:hint="eastAsia" w:ascii="宋体" w:hAnsi="宋体"/>
                <w:color w:val="000000" w:themeColor="text1"/>
              </w:rPr>
              <w:t>⑴负责绿化养护，使用剪草机、割灌机等修剪草坪。</w:t>
            </w:r>
          </w:p>
          <w:p w14:paraId="67C69B46">
            <w:pPr>
              <w:spacing w:line="273" w:lineRule="auto"/>
              <w:rPr>
                <w:rFonts w:ascii="宋体" w:hAnsi="宋体" w:eastAsia="宋体" w:cs="宋体"/>
                <w:color w:val="000000" w:themeColor="text1"/>
                <w:szCs w:val="21"/>
              </w:rPr>
            </w:pPr>
            <w:r>
              <w:rPr>
                <w:rFonts w:hint="eastAsia" w:ascii="宋体" w:hAnsi="宋体"/>
                <w:color w:val="000000" w:themeColor="text1"/>
              </w:rPr>
              <w:t>⑵负责乔灌木和草坪的修剪、浇水、打药、除杂草等。</w:t>
            </w:r>
          </w:p>
        </w:tc>
        <w:tc>
          <w:tcPr>
            <w:tcW w:w="2814" w:type="dxa"/>
            <w:tcBorders>
              <w:top w:val="single" w:color="auto" w:sz="4" w:space="0"/>
              <w:left w:val="single" w:color="auto" w:sz="4" w:space="0"/>
              <w:bottom w:val="single" w:color="auto" w:sz="4" w:space="0"/>
              <w:right w:val="single" w:color="auto" w:sz="4" w:space="0"/>
            </w:tcBorders>
            <w:vAlign w:val="center"/>
          </w:tcPr>
          <w:p w14:paraId="08D8C840">
            <w:pPr>
              <w:spacing w:line="273" w:lineRule="auto"/>
              <w:rPr>
                <w:rFonts w:ascii="宋体" w:hAnsi="宋体" w:cs="宋体"/>
                <w:color w:val="000000" w:themeColor="text1"/>
                <w:szCs w:val="21"/>
              </w:rPr>
            </w:pPr>
            <w:r>
              <w:rPr>
                <w:rFonts w:hint="eastAsia" w:ascii="宋体" w:hAnsi="宋体"/>
                <w:color w:val="000000" w:themeColor="text1"/>
              </w:rPr>
              <w:t>(1)具有吃苦耐劳精神。</w:t>
            </w:r>
          </w:p>
          <w:p w14:paraId="5D242B20">
            <w:pPr>
              <w:numPr>
                <w:ilvl w:val="0"/>
                <w:numId w:val="8"/>
              </w:numPr>
              <w:spacing w:line="273" w:lineRule="auto"/>
              <w:rPr>
                <w:rFonts w:ascii="宋体" w:hAnsi="宋体"/>
                <w:color w:val="000000" w:themeColor="text1"/>
              </w:rPr>
            </w:pPr>
            <w:r>
              <w:rPr>
                <w:rFonts w:hint="eastAsia" w:ascii="宋体" w:hAnsi="宋体"/>
                <w:color w:val="000000" w:themeColor="text1"/>
              </w:rPr>
              <w:t>具有绿化养护技能及美化意识。</w:t>
            </w:r>
          </w:p>
          <w:p w14:paraId="3BC84371">
            <w:pPr>
              <w:numPr>
                <w:ilvl w:val="0"/>
                <w:numId w:val="8"/>
              </w:numPr>
              <w:spacing w:line="273" w:lineRule="auto"/>
              <w:rPr>
                <w:rFonts w:ascii="宋体" w:hAnsi="宋体" w:eastAsia="宋体" w:cs="宋体"/>
                <w:color w:val="000000" w:themeColor="text1"/>
                <w:szCs w:val="21"/>
              </w:rPr>
            </w:pPr>
            <w:r>
              <w:rPr>
                <w:rFonts w:hint="eastAsia" w:ascii="宋体" w:hAnsi="宋体"/>
                <w:color w:val="000000" w:themeColor="text1"/>
              </w:rPr>
              <w:t>★其中一人具有园林、绿化相关从业资格证。（提供证书复印件）</w:t>
            </w:r>
          </w:p>
        </w:tc>
      </w:tr>
      <w:tr w14:paraId="4BCD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01033E4C">
            <w:pPr>
              <w:spacing w:line="273" w:lineRule="auto"/>
              <w:rPr>
                <w:rFonts w:ascii="宋体" w:hAnsi="宋体" w:eastAsia="宋体" w:cs="宋体"/>
                <w:color w:val="000000" w:themeColor="text1"/>
                <w:szCs w:val="21"/>
              </w:rPr>
            </w:pPr>
            <w:r>
              <w:rPr>
                <w:rFonts w:hint="eastAsia" w:ascii="宋体" w:hAnsi="宋体"/>
                <w:color w:val="000000" w:themeColor="text1"/>
              </w:rPr>
              <w:t>多媒体维护</w:t>
            </w:r>
          </w:p>
        </w:tc>
        <w:tc>
          <w:tcPr>
            <w:tcW w:w="709" w:type="dxa"/>
            <w:tcBorders>
              <w:top w:val="single" w:color="auto" w:sz="4" w:space="0"/>
              <w:left w:val="single" w:color="auto" w:sz="4" w:space="0"/>
              <w:bottom w:val="single" w:color="auto" w:sz="4" w:space="0"/>
              <w:right w:val="single" w:color="auto" w:sz="4" w:space="0"/>
            </w:tcBorders>
            <w:vAlign w:val="center"/>
          </w:tcPr>
          <w:p w14:paraId="4E7C4DF6">
            <w:pPr>
              <w:spacing w:line="273" w:lineRule="auto"/>
              <w:rPr>
                <w:rFonts w:ascii="宋体" w:hAnsi="宋体" w:eastAsia="宋体" w:cs="宋体"/>
                <w:color w:val="000000" w:themeColor="text1"/>
                <w:szCs w:val="21"/>
              </w:rPr>
            </w:pPr>
            <w:r>
              <w:rPr>
                <w:rFonts w:hint="eastAsia" w:ascii="宋体" w:hAnsi="宋体"/>
                <w:color w:val="000000" w:themeColor="text1"/>
              </w:rPr>
              <w:t>4人</w:t>
            </w:r>
          </w:p>
        </w:tc>
        <w:tc>
          <w:tcPr>
            <w:tcW w:w="4394" w:type="dxa"/>
            <w:tcBorders>
              <w:top w:val="single" w:color="auto" w:sz="4" w:space="0"/>
              <w:left w:val="single" w:color="auto" w:sz="4" w:space="0"/>
              <w:bottom w:val="single" w:color="auto" w:sz="4" w:space="0"/>
              <w:right w:val="single" w:color="auto" w:sz="4" w:space="0"/>
            </w:tcBorders>
            <w:vAlign w:val="center"/>
          </w:tcPr>
          <w:p w14:paraId="7DB67CEF">
            <w:pPr>
              <w:spacing w:line="273" w:lineRule="auto"/>
              <w:rPr>
                <w:rFonts w:ascii="宋体" w:hAnsi="宋体" w:cs="宋体"/>
                <w:color w:val="000000" w:themeColor="text1"/>
                <w:szCs w:val="21"/>
              </w:rPr>
            </w:pPr>
            <w:r>
              <w:rPr>
                <w:rFonts w:hint="eastAsia" w:ascii="宋体" w:hAnsi="宋体"/>
                <w:color w:val="000000" w:themeColor="text1"/>
              </w:rPr>
              <w:t>⑴负责对多媒体问题处理；负责对教室软件系统的更新和升级。</w:t>
            </w:r>
          </w:p>
          <w:p w14:paraId="345A618E">
            <w:pPr>
              <w:spacing w:line="273" w:lineRule="auto"/>
              <w:rPr>
                <w:rFonts w:ascii="宋体" w:hAnsi="宋体" w:eastAsia="宋体" w:cs="宋体"/>
                <w:color w:val="000000" w:themeColor="text1"/>
                <w:szCs w:val="21"/>
              </w:rPr>
            </w:pPr>
            <w:r>
              <w:rPr>
                <w:rFonts w:hint="eastAsia" w:ascii="宋体" w:hAnsi="宋体"/>
                <w:color w:val="000000" w:themeColor="text1"/>
              </w:rPr>
              <w:t>⑵负责对多媒体设备的检查和维护。</w:t>
            </w:r>
          </w:p>
        </w:tc>
        <w:tc>
          <w:tcPr>
            <w:tcW w:w="2814" w:type="dxa"/>
            <w:tcBorders>
              <w:top w:val="single" w:color="auto" w:sz="4" w:space="0"/>
              <w:left w:val="single" w:color="auto" w:sz="4" w:space="0"/>
              <w:bottom w:val="single" w:color="auto" w:sz="4" w:space="0"/>
              <w:right w:val="single" w:color="auto" w:sz="4" w:space="0"/>
            </w:tcBorders>
            <w:vAlign w:val="center"/>
          </w:tcPr>
          <w:p w14:paraId="3437AFD5">
            <w:pPr>
              <w:spacing w:line="273" w:lineRule="auto"/>
              <w:rPr>
                <w:rFonts w:ascii="宋体" w:hAnsi="宋体" w:cs="宋体"/>
                <w:color w:val="000000" w:themeColor="text1"/>
                <w:szCs w:val="21"/>
              </w:rPr>
            </w:pPr>
            <w:r>
              <w:rPr>
                <w:rFonts w:hint="eastAsia" w:ascii="宋体" w:hAnsi="宋体"/>
                <w:color w:val="000000" w:themeColor="text1"/>
              </w:rPr>
              <w:t>⑴具有良好的多媒体处理能力。</w:t>
            </w:r>
          </w:p>
          <w:p w14:paraId="128144A2">
            <w:pPr>
              <w:numPr>
                <w:ilvl w:val="0"/>
                <w:numId w:val="9"/>
              </w:numPr>
              <w:spacing w:line="273" w:lineRule="auto"/>
              <w:rPr>
                <w:rFonts w:ascii="宋体" w:hAnsi="宋体"/>
                <w:color w:val="000000" w:themeColor="text1"/>
              </w:rPr>
            </w:pPr>
            <w:r>
              <w:rPr>
                <w:rFonts w:hint="eastAsia" w:ascii="宋体" w:hAnsi="宋体"/>
                <w:color w:val="000000" w:themeColor="text1"/>
              </w:rPr>
              <w:t>具有良好的沟通及协调能力。</w:t>
            </w:r>
          </w:p>
          <w:p w14:paraId="38DB20A5">
            <w:pPr>
              <w:spacing w:line="273" w:lineRule="auto"/>
              <w:rPr>
                <w:rFonts w:ascii="宋体" w:hAnsi="宋体" w:eastAsia="宋体" w:cs="宋体"/>
                <w:color w:val="000000" w:themeColor="text1"/>
                <w:szCs w:val="21"/>
              </w:rPr>
            </w:pPr>
            <w:r>
              <w:rPr>
                <w:rFonts w:hint="eastAsia" w:ascii="宋体" w:hAnsi="宋体"/>
                <w:color w:val="000000" w:themeColor="text1"/>
              </w:rPr>
              <w:t>★（3）具有一定的计算机基础。（提供证明材料）</w:t>
            </w:r>
          </w:p>
        </w:tc>
      </w:tr>
      <w:tr w14:paraId="47E6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799F176E">
            <w:pPr>
              <w:spacing w:line="273" w:lineRule="auto"/>
              <w:rPr>
                <w:rFonts w:ascii="宋体" w:hAnsi="宋体" w:eastAsia="宋体" w:cs="宋体"/>
                <w:color w:val="000000" w:themeColor="text1"/>
                <w:szCs w:val="21"/>
              </w:rPr>
            </w:pPr>
            <w:r>
              <w:rPr>
                <w:rFonts w:hint="eastAsia" w:ascii="宋体" w:hAnsi="宋体"/>
                <w:color w:val="000000" w:themeColor="text1"/>
              </w:rPr>
              <w:t>工程维护</w:t>
            </w:r>
          </w:p>
        </w:tc>
        <w:tc>
          <w:tcPr>
            <w:tcW w:w="709" w:type="dxa"/>
            <w:tcBorders>
              <w:top w:val="single" w:color="auto" w:sz="4" w:space="0"/>
              <w:left w:val="single" w:color="auto" w:sz="4" w:space="0"/>
              <w:bottom w:val="single" w:color="auto" w:sz="4" w:space="0"/>
              <w:right w:val="single" w:color="auto" w:sz="4" w:space="0"/>
            </w:tcBorders>
            <w:vAlign w:val="center"/>
          </w:tcPr>
          <w:p w14:paraId="46AA101A">
            <w:pPr>
              <w:spacing w:line="273" w:lineRule="auto"/>
              <w:rPr>
                <w:rFonts w:ascii="宋体" w:hAnsi="宋体" w:eastAsia="宋体" w:cs="宋体"/>
                <w:color w:val="000000" w:themeColor="text1"/>
                <w:szCs w:val="21"/>
              </w:rPr>
            </w:pPr>
            <w:r>
              <w:rPr>
                <w:rFonts w:hint="eastAsia" w:ascii="宋体" w:hAnsi="宋体"/>
                <w:color w:val="000000" w:themeColor="text1"/>
              </w:rPr>
              <w:t>4人</w:t>
            </w:r>
          </w:p>
        </w:tc>
        <w:tc>
          <w:tcPr>
            <w:tcW w:w="4394" w:type="dxa"/>
            <w:tcBorders>
              <w:top w:val="single" w:color="auto" w:sz="4" w:space="0"/>
              <w:left w:val="single" w:color="auto" w:sz="4" w:space="0"/>
              <w:bottom w:val="single" w:color="auto" w:sz="4" w:space="0"/>
              <w:right w:val="single" w:color="auto" w:sz="4" w:space="0"/>
            </w:tcBorders>
            <w:vAlign w:val="center"/>
          </w:tcPr>
          <w:p w14:paraId="3EC9D6AE">
            <w:pPr>
              <w:spacing w:line="273" w:lineRule="auto"/>
              <w:rPr>
                <w:rFonts w:ascii="宋体" w:hAnsi="宋体" w:cs="宋体"/>
                <w:color w:val="000000" w:themeColor="text1"/>
                <w:szCs w:val="21"/>
              </w:rPr>
            </w:pPr>
            <w:r>
              <w:rPr>
                <w:rFonts w:hint="eastAsia" w:ascii="宋体" w:hAnsi="宋体"/>
                <w:color w:val="000000" w:themeColor="text1"/>
              </w:rPr>
              <w:t>⑴行政楼1人，主要负责行政楼及第二办公楼的设施设备检查和维护；定期对设备进行保养和检查；对会议所需投影、电脑进行连接和调式等。</w:t>
            </w:r>
          </w:p>
          <w:p w14:paraId="269C92BD">
            <w:pPr>
              <w:spacing w:line="273" w:lineRule="auto"/>
              <w:rPr>
                <w:rFonts w:ascii="宋体" w:hAnsi="宋体" w:eastAsia="宋体" w:cs="宋体"/>
                <w:color w:val="000000" w:themeColor="text1"/>
                <w:szCs w:val="21"/>
              </w:rPr>
            </w:pPr>
            <w:r>
              <w:rPr>
                <w:rFonts w:hint="eastAsia" w:ascii="宋体" w:hAnsi="宋体"/>
                <w:color w:val="000000" w:themeColor="text1"/>
              </w:rPr>
              <w:t>⑵五六教3人，主要负责教室及公共区域设备设备的检查及维护；对高低压配电房等设备进行定期检查和保养。</w:t>
            </w:r>
          </w:p>
        </w:tc>
        <w:tc>
          <w:tcPr>
            <w:tcW w:w="2814" w:type="dxa"/>
            <w:tcBorders>
              <w:top w:val="single" w:color="auto" w:sz="4" w:space="0"/>
              <w:left w:val="single" w:color="auto" w:sz="4" w:space="0"/>
              <w:bottom w:val="single" w:color="auto" w:sz="4" w:space="0"/>
              <w:right w:val="single" w:color="auto" w:sz="4" w:space="0"/>
            </w:tcBorders>
            <w:vAlign w:val="center"/>
          </w:tcPr>
          <w:p w14:paraId="3EFE1026">
            <w:pPr>
              <w:numPr>
                <w:ilvl w:val="0"/>
                <w:numId w:val="10"/>
              </w:numPr>
              <w:spacing w:line="273" w:lineRule="auto"/>
              <w:rPr>
                <w:rFonts w:ascii="宋体" w:hAnsi="宋体" w:cs="宋体"/>
                <w:color w:val="000000" w:themeColor="text1"/>
                <w:szCs w:val="21"/>
              </w:rPr>
            </w:pPr>
            <w:r>
              <w:rPr>
                <w:rFonts w:hint="eastAsia" w:ascii="宋体" w:hAnsi="宋体"/>
                <w:color w:val="000000" w:themeColor="text1"/>
              </w:rPr>
              <w:t>★有电工执业资格证书。（提供证书复印件）</w:t>
            </w:r>
          </w:p>
          <w:p w14:paraId="47B57862">
            <w:pPr>
              <w:spacing w:line="273" w:lineRule="auto"/>
              <w:rPr>
                <w:rFonts w:ascii="宋体" w:hAnsi="宋体" w:eastAsia="宋体" w:cs="宋体"/>
                <w:color w:val="000000" w:themeColor="text1"/>
                <w:szCs w:val="21"/>
              </w:rPr>
            </w:pPr>
            <w:r>
              <w:rPr>
                <w:rFonts w:hint="eastAsia" w:ascii="宋体" w:hAnsi="宋体"/>
                <w:color w:val="000000" w:themeColor="text1"/>
              </w:rPr>
              <w:t>⑵熟悉电路的基本维护，能够对电气设备进行正常运用操作及保养。</w:t>
            </w:r>
          </w:p>
        </w:tc>
      </w:tr>
      <w:tr w14:paraId="08CE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14:paraId="497EFF57">
            <w:pPr>
              <w:spacing w:line="273" w:lineRule="auto"/>
              <w:rPr>
                <w:rFonts w:ascii="宋体" w:hAnsi="宋体" w:eastAsia="宋体" w:cs="宋体"/>
                <w:color w:val="000000" w:themeColor="text1"/>
                <w:szCs w:val="21"/>
              </w:rPr>
            </w:pPr>
            <w:r>
              <w:rPr>
                <w:rFonts w:hint="eastAsia" w:ascii="宋体" w:hAnsi="宋体"/>
                <w:color w:val="000000" w:themeColor="text1"/>
              </w:rPr>
              <w:t>合计</w:t>
            </w:r>
          </w:p>
        </w:tc>
        <w:tc>
          <w:tcPr>
            <w:tcW w:w="709" w:type="dxa"/>
            <w:tcBorders>
              <w:top w:val="single" w:color="auto" w:sz="4" w:space="0"/>
              <w:left w:val="single" w:color="auto" w:sz="4" w:space="0"/>
              <w:bottom w:val="single" w:color="auto" w:sz="4" w:space="0"/>
              <w:right w:val="single" w:color="auto" w:sz="4" w:space="0"/>
            </w:tcBorders>
            <w:vAlign w:val="center"/>
          </w:tcPr>
          <w:p w14:paraId="06332DDE">
            <w:pPr>
              <w:spacing w:line="273" w:lineRule="auto"/>
              <w:rPr>
                <w:rFonts w:ascii="宋体" w:hAnsi="宋体" w:eastAsia="宋体" w:cs="宋体"/>
                <w:color w:val="000000" w:themeColor="text1"/>
                <w:szCs w:val="21"/>
              </w:rPr>
            </w:pPr>
            <w:r>
              <w:rPr>
                <w:rFonts w:hint="eastAsia" w:ascii="宋体" w:hAnsi="宋体"/>
                <w:color w:val="000000" w:themeColor="text1"/>
              </w:rPr>
              <w:t>92人</w:t>
            </w:r>
          </w:p>
        </w:tc>
        <w:tc>
          <w:tcPr>
            <w:tcW w:w="4394" w:type="dxa"/>
            <w:tcBorders>
              <w:top w:val="single" w:color="auto" w:sz="4" w:space="0"/>
              <w:left w:val="single" w:color="auto" w:sz="4" w:space="0"/>
              <w:bottom w:val="single" w:color="auto" w:sz="4" w:space="0"/>
              <w:right w:val="single" w:color="auto" w:sz="4" w:space="0"/>
            </w:tcBorders>
            <w:vAlign w:val="center"/>
          </w:tcPr>
          <w:p w14:paraId="71B770CD">
            <w:pPr>
              <w:spacing w:line="273" w:lineRule="auto"/>
              <w:rPr>
                <w:rFonts w:ascii="宋体" w:hAnsi="宋体" w:eastAsia="宋体" w:cs="宋体"/>
                <w:color w:val="000000" w:themeColor="text1"/>
                <w:szCs w:val="21"/>
              </w:rPr>
            </w:pPr>
          </w:p>
        </w:tc>
        <w:tc>
          <w:tcPr>
            <w:tcW w:w="2814" w:type="dxa"/>
            <w:tcBorders>
              <w:top w:val="single" w:color="auto" w:sz="4" w:space="0"/>
              <w:left w:val="single" w:color="auto" w:sz="4" w:space="0"/>
              <w:bottom w:val="single" w:color="auto" w:sz="4" w:space="0"/>
              <w:right w:val="single" w:color="auto" w:sz="4" w:space="0"/>
            </w:tcBorders>
            <w:vAlign w:val="center"/>
          </w:tcPr>
          <w:p w14:paraId="514D0812">
            <w:pPr>
              <w:spacing w:line="273" w:lineRule="auto"/>
              <w:rPr>
                <w:rFonts w:ascii="宋体" w:hAnsi="宋体" w:eastAsia="宋体" w:cs="宋体"/>
                <w:color w:val="000000" w:themeColor="text1"/>
                <w:szCs w:val="21"/>
              </w:rPr>
            </w:pPr>
          </w:p>
        </w:tc>
      </w:tr>
    </w:tbl>
    <w:p w14:paraId="70D0FE36">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w:t>
      </w:r>
      <w:r>
        <w:rPr>
          <w:rFonts w:hint="eastAsia" w:ascii="宋体" w:hAnsi="宋体"/>
          <w:bCs/>
          <w:color w:val="000000" w:themeColor="text1"/>
          <w:sz w:val="24"/>
          <w:szCs w:val="24"/>
        </w:rPr>
        <w:t>.</w:t>
      </w:r>
      <w:r>
        <w:rPr>
          <w:rFonts w:ascii="宋体" w:hAnsi="宋体"/>
          <w:bCs/>
          <w:color w:val="000000" w:themeColor="text1"/>
          <w:sz w:val="24"/>
          <w:szCs w:val="24"/>
        </w:rPr>
        <w:t>8</w:t>
      </w:r>
      <w:bookmarkEnd w:id="10"/>
      <w:r>
        <w:rPr>
          <w:rFonts w:hint="eastAsia" w:ascii="宋体" w:hAnsi="宋体"/>
          <w:bCs/>
          <w:color w:val="000000" w:themeColor="text1"/>
          <w:sz w:val="24"/>
          <w:szCs w:val="24"/>
        </w:rPr>
        <w:t>.2投标人响应的岗位及服务人数不得低于此最低配置标准，投标人可多于、优于此配置。</w:t>
      </w:r>
    </w:p>
    <w:p w14:paraId="7E2E437F">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w:t>
      </w:r>
      <w:r>
        <w:rPr>
          <w:rFonts w:hint="eastAsia" w:ascii="宋体" w:hAnsi="宋体"/>
          <w:bCs/>
          <w:color w:val="000000" w:themeColor="text1"/>
          <w:sz w:val="24"/>
          <w:szCs w:val="24"/>
        </w:rPr>
        <w:t>.</w:t>
      </w:r>
      <w:r>
        <w:rPr>
          <w:rFonts w:ascii="宋体" w:hAnsi="宋体"/>
          <w:bCs/>
          <w:color w:val="000000" w:themeColor="text1"/>
          <w:sz w:val="24"/>
          <w:szCs w:val="24"/>
        </w:rPr>
        <w:t>8</w:t>
      </w:r>
      <w:r>
        <w:rPr>
          <w:rFonts w:hint="eastAsia" w:ascii="宋体" w:hAnsi="宋体"/>
          <w:bCs/>
          <w:color w:val="000000" w:themeColor="text1"/>
          <w:sz w:val="24"/>
          <w:szCs w:val="24"/>
        </w:rPr>
        <w:t>.3投标人应专业、科学、合理的配置人员，应根据物业管理的范围、内容和标准要求确定服务区域和岗位，做到“定区定岗定责”，按需设岗。</w:t>
      </w:r>
    </w:p>
    <w:p w14:paraId="18DE6C3A">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4合同签订之前，供应商应提供拟实际派遣人员名单和所派遣人员的身份证，以及其他须提交的相关证明材料原件供采购人查验并上交复印件，如未提供或所提交的材料与实际提供的服务情况不符，采购人有权单方面不予签订合同，不予签订的的通知自到达供应商时生效。</w:t>
      </w:r>
    </w:p>
    <w:p w14:paraId="2CD4F021">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.5合同执行过程中，中标供应商选派的项目经理、行政办公楼主管、秩序维护主管、环境维护主管、工程技术主管及需持证上岗人员须与合同签订时指派的人员一致， 若需出现人员更换，须及时上报采购人，经采购人同意认可后方可更换，未经采购人同意更换项目经理的扣款10000元/次，更换其他人员（行政办公楼主管、秩序维护主管、环境维护主管、工程技术主管及需持证上岗人员）的扣款5000元/人/次，且采购人有权终止与承包人的服务合同。（投标人应在响应文件中提供专项承诺函，未提供视为未实质性响应）</w:t>
      </w:r>
    </w:p>
    <w:p w14:paraId="1A2D929A">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.6采购人将对前期进场的主要管理人员、重要岗位人员、工程技术人员等进行考核，如在培训、熟悉环境过程中发现其不能胜任的， 采购人可要求无条件更换，直至胜任为止。</w:t>
      </w:r>
    </w:p>
    <w:p w14:paraId="0A1F0D5A">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.7因本项目属于人员密集性公共场所，具有在校师生数量大、安全管理要求高、紧急救护情况多等特性，投标人须进行一般救护基本知识及技能培训，应对突发事件处理。</w:t>
      </w:r>
    </w:p>
    <w:p w14:paraId="3FA6EB2D">
      <w:pPr>
        <w:spacing w:line="460" w:lineRule="exact"/>
        <w:ind w:firstLine="480" w:firstLineChars="200"/>
        <w:rPr>
          <w:rFonts w:ascii="宋体" w:hAnsi="宋体"/>
          <w:bCs/>
          <w:color w:val="000000" w:themeColor="text1"/>
          <w:sz w:val="24"/>
          <w:szCs w:val="24"/>
        </w:rPr>
      </w:pPr>
      <w:bookmarkStart w:id="11" w:name="_Hlk101826609"/>
      <w:r>
        <w:rPr>
          <w:rFonts w:ascii="宋体" w:hAnsi="宋体"/>
          <w:bCs/>
          <w:color w:val="000000" w:themeColor="text1"/>
          <w:sz w:val="24"/>
          <w:szCs w:val="24"/>
        </w:rPr>
        <w:t>3.8</w:t>
      </w:r>
      <w:bookmarkEnd w:id="11"/>
      <w:r>
        <w:rPr>
          <w:rFonts w:hint="eastAsia" w:ascii="宋体" w:hAnsi="宋体"/>
          <w:bCs/>
          <w:color w:val="000000" w:themeColor="text1"/>
          <w:sz w:val="24"/>
          <w:szCs w:val="24"/>
        </w:rPr>
        <w:t>.8投标人应按照国家劳动法及成都市的用工规定，聘用物业管理服务人员，与项目全部物业服务人员签订《劳动合同》，并全员购买社保。</w:t>
      </w:r>
    </w:p>
    <w:p w14:paraId="1E2FF421">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.9投标人须提供承诺函承诺加强人员管理和人员培训，保持队伍的稳定性，人员年流动率不超过20%。</w:t>
      </w:r>
    </w:p>
    <w:p w14:paraId="1A7C2B6F">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.10物业管理的人员应熟练掌握学校物业管理知识，经培训合格后上岗；物业管理项目管理人员应具备相应的工作经验和能力；专业技术操作人员应取得专业资格证书。</w:t>
      </w:r>
    </w:p>
    <w:p w14:paraId="7487C029">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9</w:t>
      </w:r>
      <w:r>
        <w:rPr>
          <w:rFonts w:hint="eastAsia" w:ascii="宋体" w:hAnsi="宋体"/>
          <w:b/>
          <w:color w:val="000000" w:themeColor="text1"/>
          <w:sz w:val="24"/>
          <w:szCs w:val="24"/>
        </w:rPr>
        <w:t>其他要求</w:t>
      </w:r>
    </w:p>
    <w:p w14:paraId="1DEBA60D">
      <w:pPr>
        <w:pStyle w:val="2"/>
        <w:rPr>
          <w:color w:val="000000" w:themeColor="text1"/>
        </w:rPr>
      </w:pPr>
      <w:r>
        <w:rPr>
          <w:rFonts w:hint="eastAsia" w:ascii="宋体" w:hAnsi="宋体"/>
          <w:b/>
          <w:color w:val="000000" w:themeColor="text1"/>
          <w:sz w:val="24"/>
          <w:szCs w:val="24"/>
        </w:rPr>
        <w:t xml:space="preserve">     3.9.1 其他服务要求</w:t>
      </w:r>
    </w:p>
    <w:p w14:paraId="3ABE853F">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（1）管理及服务人须员统一着装、佩戴标志，行为规范，服务主动热情。安全护卫人员要求备勤人员在校居住。保洁工作应明确工作内容和工作要点，制定出具体的工作标准、检查标准。</w:t>
      </w:r>
    </w:p>
    <w:p w14:paraId="0DA81774">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）物业公司根据有关物业管理法规和物业委托管理合同对该物业项目实行统一管理，综合服务，自主经营，自负盈亏。</w:t>
      </w:r>
    </w:p>
    <w:p w14:paraId="41AD31BF">
      <w:pPr>
        <w:spacing w:line="360" w:lineRule="auto"/>
        <w:ind w:firstLine="420" w:firstLineChars="200"/>
        <w:rPr>
          <w:rFonts w:ascii="宋体" w:hAnsi="宋体"/>
          <w:color w:val="000000" w:themeColor="text1"/>
          <w:sz w:val="24"/>
        </w:rPr>
      </w:pPr>
      <w:r>
        <w:rPr>
          <w:rFonts w:hint="eastAsia" w:ascii="宋体" w:hAnsi="宋体"/>
          <w:color w:val="000000" w:themeColor="text1"/>
        </w:rPr>
        <w:t>★</w:t>
      </w:r>
      <w:r>
        <w:rPr>
          <w:rFonts w:hint="eastAsia" w:ascii="宋体" w:hAnsi="宋体"/>
          <w:color w:val="000000" w:themeColor="text1"/>
          <w:sz w:val="24"/>
        </w:rPr>
        <w:t>（</w:t>
      </w:r>
      <w:r>
        <w:rPr>
          <w:rFonts w:ascii="宋体" w:hAnsi="宋体"/>
          <w:color w:val="000000" w:themeColor="text1"/>
          <w:sz w:val="24"/>
        </w:rPr>
        <w:t>3</w:t>
      </w:r>
      <w:r>
        <w:rPr>
          <w:rFonts w:hint="eastAsia" w:ascii="宋体" w:hAnsi="宋体"/>
          <w:color w:val="000000" w:themeColor="text1"/>
          <w:sz w:val="24"/>
        </w:rPr>
        <w:t>）物业公司</w:t>
      </w:r>
      <w:r>
        <w:rPr>
          <w:rFonts w:hint="eastAsia" w:ascii="宋体" w:hAnsi="宋体" w:cs="宋体"/>
          <w:color w:val="000000" w:themeColor="text1"/>
          <w:kern w:val="0"/>
          <w:sz w:val="24"/>
        </w:rPr>
        <w:t>在</w:t>
      </w:r>
      <w:r>
        <w:rPr>
          <w:rFonts w:hint="eastAsia" w:ascii="宋体" w:hAnsi="宋体"/>
          <w:color w:val="000000" w:themeColor="text1"/>
          <w:sz w:val="24"/>
        </w:rPr>
        <w:t>物业管理</w:t>
      </w:r>
      <w:r>
        <w:rPr>
          <w:rFonts w:hint="eastAsia" w:ascii="宋体" w:hAnsi="宋体" w:cs="宋体"/>
          <w:color w:val="000000" w:themeColor="text1"/>
          <w:kern w:val="0"/>
          <w:sz w:val="24"/>
        </w:rPr>
        <w:t>服务中的一切风险（包括</w:t>
      </w:r>
      <w:r>
        <w:rPr>
          <w:rFonts w:hint="eastAsia" w:ascii="宋体" w:hAnsi="宋体"/>
          <w:color w:val="000000" w:themeColor="text1"/>
          <w:kern w:val="0"/>
          <w:sz w:val="24"/>
          <w:szCs w:val="24"/>
        </w:rPr>
        <w:t>但不限于</w:t>
      </w:r>
      <w:r>
        <w:rPr>
          <w:rFonts w:hint="eastAsia" w:ascii="宋体" w:hAnsi="宋体"/>
          <w:color w:val="000000" w:themeColor="text1"/>
          <w:sz w:val="24"/>
        </w:rPr>
        <w:t>物业管理</w:t>
      </w:r>
      <w:r>
        <w:rPr>
          <w:rFonts w:hint="eastAsia" w:ascii="宋体" w:hAnsi="宋体" w:cs="宋体"/>
          <w:color w:val="000000" w:themeColor="text1"/>
          <w:kern w:val="0"/>
          <w:sz w:val="24"/>
        </w:rPr>
        <w:t>人员安全事故责任、与第三方的劳务纠纷、内部的劳务纠纷及第三方的人员伤害等）均由</w:t>
      </w:r>
      <w:r>
        <w:rPr>
          <w:rFonts w:hint="eastAsia" w:ascii="宋体" w:hAnsi="宋体"/>
          <w:color w:val="000000" w:themeColor="text1"/>
          <w:sz w:val="24"/>
        </w:rPr>
        <w:t>物业公司</w:t>
      </w:r>
      <w:r>
        <w:rPr>
          <w:rFonts w:hint="eastAsia" w:ascii="宋体" w:hAnsi="宋体" w:cs="宋体"/>
          <w:color w:val="000000" w:themeColor="text1"/>
          <w:kern w:val="0"/>
          <w:sz w:val="24"/>
        </w:rPr>
        <w:t>独自承担责任。</w:t>
      </w:r>
      <w:r>
        <w:rPr>
          <w:rFonts w:hint="eastAsia" w:ascii="宋体" w:hAnsi="宋体" w:cs="宋体"/>
          <w:b/>
          <w:bCs/>
          <w:color w:val="000000" w:themeColor="text1"/>
          <w:kern w:val="0"/>
          <w:sz w:val="24"/>
        </w:rPr>
        <w:t>（提供承诺函）</w:t>
      </w:r>
    </w:p>
    <w:p w14:paraId="66D154C9">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4</w:t>
      </w:r>
      <w:r>
        <w:rPr>
          <w:rFonts w:hint="eastAsia" w:ascii="宋体" w:hAnsi="宋体"/>
          <w:color w:val="000000" w:themeColor="text1"/>
          <w:sz w:val="24"/>
        </w:rPr>
        <w:t>）物业公司须提供承诺函承诺根据学校需求，完成国家、学校考试及大型活动需要的教室桌椅、照明、清洁、门窗、附属设施及水电的准备保障工作，配合场地的布置和安排。</w:t>
      </w:r>
    </w:p>
    <w:p w14:paraId="122D6A45">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rPr>
        <w:t>（</w:t>
      </w:r>
      <w:r>
        <w:rPr>
          <w:rFonts w:ascii="宋体" w:hAnsi="宋体"/>
          <w:color w:val="000000" w:themeColor="text1"/>
          <w:sz w:val="24"/>
          <w:szCs w:val="24"/>
        </w:rPr>
        <w:t>5</w:t>
      </w:r>
      <w:r>
        <w:rPr>
          <w:rFonts w:hint="eastAsia" w:ascii="宋体" w:hAnsi="宋体"/>
          <w:color w:val="000000" w:themeColor="text1"/>
          <w:sz w:val="24"/>
          <w:szCs w:val="24"/>
        </w:rPr>
        <w:t>）严禁物业公司员工以各种理由破坏学校各种设施，一经核实为物业公司员工所为，学校将追究物业公司的法律责任。</w:t>
      </w:r>
    </w:p>
    <w:p w14:paraId="2F186CF7">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6</w:t>
      </w:r>
      <w:r>
        <w:rPr>
          <w:rFonts w:hint="eastAsia" w:ascii="宋体" w:hAnsi="宋体"/>
          <w:color w:val="000000" w:themeColor="text1"/>
          <w:sz w:val="24"/>
          <w:szCs w:val="24"/>
        </w:rPr>
        <w:t>）严禁物业公司员工以各种名义在管理范围内开设商店、擅自出租教室等经营活动；严禁在管理范围内生火做饭、违规用电及及其他影响学校办公、教学的各种活动。</w:t>
      </w:r>
    </w:p>
    <w:p w14:paraId="6BA556AD">
      <w:pPr>
        <w:spacing w:line="360" w:lineRule="auto"/>
        <w:ind w:firstLine="482" w:firstLineChars="200"/>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3.10 物业管理考核</w:t>
      </w:r>
    </w:p>
    <w:p w14:paraId="2040BB84">
      <w:pPr>
        <w:spacing w:line="360" w:lineRule="auto"/>
        <w:ind w:firstLine="482" w:firstLineChars="200"/>
        <w:rPr>
          <w:rFonts w:ascii="宋体" w:hAnsi="宋体" w:eastAsia="宋体" w:cs="宋体"/>
          <w:color w:val="000000" w:themeColor="text1"/>
          <w:sz w:val="24"/>
          <w:szCs w:val="24"/>
        </w:rPr>
      </w:pPr>
      <w:r>
        <w:rPr>
          <w:rFonts w:hint="eastAsia" w:ascii="宋体" w:hAnsi="宋体" w:eastAsia="宋体" w:cs="宋体"/>
          <w:b/>
          <w:color w:val="000000" w:themeColor="text1"/>
          <w:sz w:val="24"/>
          <w:szCs w:val="24"/>
        </w:rPr>
        <w:t>3.10.1 服务质量保证</w:t>
      </w:r>
    </w:p>
    <w:p w14:paraId="5E11CDAF">
      <w:pPr>
        <w:adjustRightInd w:val="0"/>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中标方应</w:t>
      </w:r>
      <w:r>
        <w:rPr>
          <w:rFonts w:hint="eastAsia" w:ascii="宋体" w:hAnsi="宋体" w:eastAsia="宋体" w:cs="宋体"/>
          <w:color w:val="000000" w:themeColor="text1"/>
          <w:sz w:val="24"/>
          <w:szCs w:val="24"/>
        </w:rPr>
        <w:t>严格按照招标文件技术要求进行物业管理，规范物业管理服务行为，在保证服务质量前提下为采购方提供物业管理服务。</w:t>
      </w:r>
    </w:p>
    <w:p w14:paraId="41BD3FBD">
      <w:pPr>
        <w:pStyle w:val="4"/>
        <w:spacing w:before="0" w:after="0" w:line="360" w:lineRule="auto"/>
        <w:ind w:firstLine="482"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3.10.2 考核方式</w:t>
      </w:r>
    </w:p>
    <w:p w14:paraId="5250ED17">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采购方通过月度考评和学期满意度调查相结合的方式对中标方物业管理服务绩效进行评价，采用百分制进行计分。月度考评分为日常巡查、师生投诉和加分项目三项，月度考评结果作为物业管理每月服务费支付的主要依据，其中日常巡查考核满分为100分（一月中有多次巡查时按平均分计入月度考评得分），师生投诉和加分项目为直接的扣分和加分（按月度累计计入月度考评得分）。满意度调查每学期进行一次，两次评分各占50%。</w:t>
      </w:r>
    </w:p>
    <w:p w14:paraId="01CC6ACE">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（2）日常巡查：由采购方对中标方物业管理服务内容进行定时或不定时巡查考核，考核结果当月汇总并计入月度考评得分。日常巡查扣分明细见《物业管理考核评分表》（见表8）。</w:t>
      </w:r>
    </w:p>
    <w:p w14:paraId="0D673123">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（3）师生投诉：中标方物业管理服务工作受到师生投诉，视情况进行扣分，扣分汇总并计入月度考评得分。扣分明细详见《物业管理考核评分表》。</w:t>
      </w:r>
    </w:p>
    <w:p w14:paraId="3EFD31EC">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（4）加分项目：中标方在工作期间表现出色，服务满意，可获得考核加分，加分当月汇总并计入月度考评得分。加分明细详见《物业管理考核评分表》。</w:t>
      </w:r>
    </w:p>
    <w:p w14:paraId="128A5995">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满意度调查：采购方每学期进行一次物业管理服务满意度调查，随机抽取150名以上的教职工和学生填写“满意度调查表”。满意度调查分为非常满意100分、满意90分、基本满意80分和不满意50分四种标准，取平均分为本项考核得分。</w:t>
      </w:r>
    </w:p>
    <w:p w14:paraId="1CBAEB19">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（6）两次满意度调查得分的平均分数（占40%）与月度考评得分的平均分数（占60%）的合计为年度考核分数，年度考核分数作为下年度续签合同的重要依据。</w:t>
      </w:r>
    </w:p>
    <w:p w14:paraId="35B14981">
      <w:pPr>
        <w:ind w:firstLine="420" w:firstLineChars="200"/>
        <w:jc w:val="center"/>
        <w:rPr>
          <w:rFonts w:ascii="宋体" w:hAnsi="宋体"/>
          <w:color w:val="000000" w:themeColor="text1"/>
          <w:sz w:val="18"/>
          <w:szCs w:val="18"/>
        </w:rPr>
      </w:pPr>
      <w:r>
        <w:rPr>
          <w:rFonts w:hint="eastAsia" w:ascii="宋体" w:hAnsi="宋体"/>
          <w:color w:val="000000" w:themeColor="text1"/>
        </w:rPr>
        <w:t>表8  物业管理考核评分表</w:t>
      </w:r>
    </w:p>
    <w:tbl>
      <w:tblPr>
        <w:tblStyle w:val="11"/>
        <w:tblW w:w="0" w:type="auto"/>
        <w:jc w:val="center"/>
        <w:tblLayout w:type="fixed"/>
        <w:tblCellMar>
          <w:top w:w="0" w:type="dxa"/>
          <w:left w:w="108" w:type="dxa"/>
          <w:bottom w:w="0" w:type="dxa"/>
          <w:right w:w="108" w:type="dxa"/>
        </w:tblCellMar>
      </w:tblPr>
      <w:tblGrid>
        <w:gridCol w:w="802"/>
        <w:gridCol w:w="6697"/>
        <w:gridCol w:w="732"/>
        <w:gridCol w:w="709"/>
        <w:gridCol w:w="686"/>
      </w:tblGrid>
      <w:tr w14:paraId="3E30E147">
        <w:tblPrEx>
          <w:tblCellMar>
            <w:top w:w="0" w:type="dxa"/>
            <w:left w:w="108" w:type="dxa"/>
            <w:bottom w:w="0" w:type="dxa"/>
            <w:right w:w="108" w:type="dxa"/>
          </w:tblCellMar>
        </w:tblPrEx>
        <w:trPr>
          <w:trHeight w:val="27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14:paraId="61D228F5">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项目</w:t>
            </w:r>
          </w:p>
        </w:tc>
        <w:tc>
          <w:tcPr>
            <w:tcW w:w="6697" w:type="dxa"/>
            <w:tcBorders>
              <w:top w:val="single" w:color="auto" w:sz="4" w:space="0"/>
              <w:left w:val="nil"/>
              <w:bottom w:val="single" w:color="auto" w:sz="4" w:space="0"/>
              <w:right w:val="single" w:color="auto" w:sz="4" w:space="0"/>
            </w:tcBorders>
            <w:vAlign w:val="center"/>
          </w:tcPr>
          <w:p w14:paraId="3E90F260">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加减分内容及扣分标准</w:t>
            </w:r>
          </w:p>
        </w:tc>
        <w:tc>
          <w:tcPr>
            <w:tcW w:w="732" w:type="dxa"/>
            <w:tcBorders>
              <w:top w:val="single" w:color="auto" w:sz="4" w:space="0"/>
              <w:left w:val="nil"/>
              <w:bottom w:val="single" w:color="auto" w:sz="4" w:space="0"/>
              <w:right w:val="single" w:color="auto" w:sz="4" w:space="0"/>
            </w:tcBorders>
            <w:vAlign w:val="center"/>
          </w:tcPr>
          <w:p w14:paraId="00C2023E">
            <w:pPr>
              <w:widowControl/>
              <w:ind w:left="-1" w:leftChars="-68" w:right="-48" w:rightChars="-23" w:hanging="142" w:hangingChars="79"/>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加减分</w:t>
            </w:r>
          </w:p>
        </w:tc>
        <w:tc>
          <w:tcPr>
            <w:tcW w:w="709" w:type="dxa"/>
            <w:tcBorders>
              <w:top w:val="single" w:color="auto" w:sz="4" w:space="0"/>
              <w:left w:val="nil"/>
              <w:bottom w:val="single" w:color="auto" w:sz="4" w:space="0"/>
              <w:right w:val="single" w:color="auto" w:sz="4" w:space="0"/>
            </w:tcBorders>
            <w:vAlign w:val="center"/>
          </w:tcPr>
          <w:p w14:paraId="6B462EC9">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小计</w:t>
            </w:r>
          </w:p>
        </w:tc>
        <w:tc>
          <w:tcPr>
            <w:tcW w:w="686" w:type="dxa"/>
            <w:tcBorders>
              <w:top w:val="single" w:color="auto" w:sz="4" w:space="0"/>
              <w:left w:val="nil"/>
              <w:bottom w:val="single" w:color="auto" w:sz="4" w:space="0"/>
              <w:right w:val="single" w:color="auto" w:sz="4" w:space="0"/>
            </w:tcBorders>
            <w:vAlign w:val="center"/>
          </w:tcPr>
          <w:p w14:paraId="2DD2597B">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备注</w:t>
            </w:r>
          </w:p>
        </w:tc>
      </w:tr>
      <w:tr w14:paraId="6CE5DB8C">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single" w:color="auto" w:sz="4" w:space="0"/>
              <w:right w:val="single" w:color="auto" w:sz="4" w:space="0"/>
            </w:tcBorders>
            <w:vAlign w:val="center"/>
          </w:tcPr>
          <w:p w14:paraId="5DBCD59B">
            <w:pPr>
              <w:widowControl/>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人员</w:t>
            </w:r>
          </w:p>
          <w:p w14:paraId="797C22DB">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管理</w:t>
            </w:r>
          </w:p>
        </w:tc>
        <w:tc>
          <w:tcPr>
            <w:tcW w:w="6697" w:type="dxa"/>
            <w:tcBorders>
              <w:top w:val="nil"/>
              <w:left w:val="nil"/>
              <w:bottom w:val="single" w:color="auto" w:sz="4" w:space="0"/>
              <w:right w:val="single" w:color="auto" w:sz="4" w:space="0"/>
            </w:tcBorders>
            <w:vAlign w:val="center"/>
          </w:tcPr>
          <w:p w14:paraId="358A9A0C">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人员未签订劳动合同、未进行岗前培训、不符合岗位要求就派驻上岗；不按要求报告人员更换或及时补充人员；需持证上岗人员无证上岗。出现以上情况每项扣1分。</w:t>
            </w:r>
          </w:p>
        </w:tc>
        <w:tc>
          <w:tcPr>
            <w:tcW w:w="732" w:type="dxa"/>
            <w:tcBorders>
              <w:top w:val="nil"/>
              <w:left w:val="nil"/>
              <w:bottom w:val="single" w:color="auto" w:sz="4" w:space="0"/>
              <w:right w:val="single" w:color="auto" w:sz="4" w:space="0"/>
            </w:tcBorders>
            <w:vAlign w:val="center"/>
          </w:tcPr>
          <w:p w14:paraId="503300E5">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auto" w:sz="4" w:space="0"/>
              <w:right w:val="single" w:color="auto" w:sz="4" w:space="0"/>
            </w:tcBorders>
            <w:vAlign w:val="center"/>
          </w:tcPr>
          <w:p w14:paraId="6D7345BB">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1B947DA1">
            <w:pPr>
              <w:widowControl/>
              <w:spacing w:line="260" w:lineRule="exact"/>
              <w:jc w:val="center"/>
              <w:rPr>
                <w:rFonts w:ascii="宋体" w:hAnsi="宋体" w:eastAsia="宋体" w:cs="宋体"/>
                <w:color w:val="000000" w:themeColor="text1"/>
                <w:kern w:val="0"/>
                <w:sz w:val="18"/>
                <w:szCs w:val="18"/>
              </w:rPr>
            </w:pPr>
          </w:p>
        </w:tc>
      </w:tr>
      <w:tr w14:paraId="1BB7C0F9">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32673A84">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7F12AFC1">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缺乏政治素养，影响校园稳定；放松思想教育，人员出现盗窃财物、侵占损坏公物、贪污挪用公款、在校园内酗酒滋事、打架斗殴、赌博、传播观看淫秽资料等行为；放松保密和安全教育，人员出现泄漏秘密或安全事故等情况。出现以上情况，视情节严重和影响扣2至5分，出现违法犯罪的扣10分。</w:t>
            </w:r>
          </w:p>
        </w:tc>
        <w:tc>
          <w:tcPr>
            <w:tcW w:w="732" w:type="dxa"/>
            <w:tcBorders>
              <w:top w:val="nil"/>
              <w:left w:val="nil"/>
              <w:bottom w:val="single" w:color="auto" w:sz="4" w:space="0"/>
              <w:right w:val="single" w:color="auto" w:sz="4" w:space="0"/>
            </w:tcBorders>
            <w:vAlign w:val="center"/>
          </w:tcPr>
          <w:p w14:paraId="4044A3BE">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14:paraId="40666E68">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219F4741">
            <w:pPr>
              <w:widowControl/>
              <w:spacing w:line="260" w:lineRule="exact"/>
              <w:jc w:val="center"/>
              <w:rPr>
                <w:rFonts w:ascii="宋体" w:hAnsi="宋体" w:eastAsia="宋体" w:cs="宋体"/>
                <w:color w:val="000000" w:themeColor="text1"/>
                <w:kern w:val="0"/>
                <w:sz w:val="18"/>
                <w:szCs w:val="18"/>
              </w:rPr>
            </w:pPr>
          </w:p>
        </w:tc>
      </w:tr>
      <w:tr w14:paraId="4511A4B0">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0C4AC19F">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0223DF66">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不按要求巡查值班，出现脱岗、漏岗，或聊天、打牌、玩游戏影响正常工作等情况，每次扣2分。</w:t>
            </w:r>
          </w:p>
        </w:tc>
        <w:tc>
          <w:tcPr>
            <w:tcW w:w="732" w:type="dxa"/>
            <w:tcBorders>
              <w:top w:val="nil"/>
              <w:left w:val="nil"/>
              <w:bottom w:val="single" w:color="auto" w:sz="4" w:space="0"/>
              <w:right w:val="single" w:color="auto" w:sz="4" w:space="0"/>
            </w:tcBorders>
            <w:vAlign w:val="center"/>
          </w:tcPr>
          <w:p w14:paraId="629A7718">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14:paraId="55A374A2">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62C3907B">
            <w:pPr>
              <w:widowControl/>
              <w:spacing w:line="260" w:lineRule="exact"/>
              <w:jc w:val="center"/>
              <w:rPr>
                <w:rFonts w:ascii="宋体" w:hAnsi="宋体" w:eastAsia="宋体" w:cs="宋体"/>
                <w:color w:val="000000" w:themeColor="text1"/>
                <w:kern w:val="0"/>
                <w:sz w:val="18"/>
                <w:szCs w:val="18"/>
              </w:rPr>
            </w:pPr>
          </w:p>
        </w:tc>
      </w:tr>
      <w:tr w14:paraId="2568BFD1">
        <w:tblPrEx>
          <w:tblCellMar>
            <w:top w:w="0" w:type="dxa"/>
            <w:left w:w="108" w:type="dxa"/>
            <w:bottom w:w="0" w:type="dxa"/>
            <w:right w:w="108" w:type="dxa"/>
          </w:tblCellMar>
        </w:tblPrEx>
        <w:trPr>
          <w:trHeight w:val="555"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67B93CF4">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32390E2B">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工作消极，或不能按要求完成采购方交办的临时性工作任务，或管理人员不按要求值守，不能保持与采购方通讯通畅。出现以上情况每次扣2分。</w:t>
            </w:r>
          </w:p>
        </w:tc>
        <w:tc>
          <w:tcPr>
            <w:tcW w:w="732" w:type="dxa"/>
            <w:tcBorders>
              <w:top w:val="nil"/>
              <w:left w:val="nil"/>
              <w:bottom w:val="single" w:color="auto" w:sz="4" w:space="0"/>
              <w:right w:val="single" w:color="auto" w:sz="4" w:space="0"/>
            </w:tcBorders>
            <w:vAlign w:val="center"/>
          </w:tcPr>
          <w:p w14:paraId="0E9911E5">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14:paraId="22840913">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4A83053D">
            <w:pPr>
              <w:widowControl/>
              <w:spacing w:line="260" w:lineRule="exact"/>
              <w:jc w:val="center"/>
              <w:rPr>
                <w:rFonts w:ascii="宋体" w:hAnsi="宋体" w:eastAsia="宋体" w:cs="宋体"/>
                <w:color w:val="000000" w:themeColor="text1"/>
                <w:kern w:val="0"/>
                <w:sz w:val="18"/>
                <w:szCs w:val="18"/>
              </w:rPr>
            </w:pPr>
          </w:p>
        </w:tc>
      </w:tr>
      <w:tr w14:paraId="383B0A64">
        <w:tblPrEx>
          <w:tblCellMar>
            <w:top w:w="0" w:type="dxa"/>
            <w:left w:w="108" w:type="dxa"/>
            <w:bottom w:w="0" w:type="dxa"/>
            <w:right w:w="108" w:type="dxa"/>
          </w:tblCellMar>
        </w:tblPrEx>
        <w:trPr>
          <w:trHeight w:val="2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69E3400F">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4DCFA75F">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检查时，发现人员不足，每次扣3分。</w:t>
            </w:r>
          </w:p>
        </w:tc>
        <w:tc>
          <w:tcPr>
            <w:tcW w:w="732" w:type="dxa"/>
            <w:tcBorders>
              <w:top w:val="nil"/>
              <w:left w:val="nil"/>
              <w:bottom w:val="single" w:color="auto" w:sz="4" w:space="0"/>
              <w:right w:val="single" w:color="auto" w:sz="4" w:space="0"/>
            </w:tcBorders>
            <w:vAlign w:val="center"/>
          </w:tcPr>
          <w:p w14:paraId="54F9F3A3">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14:paraId="5CFB2F75">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2907724F">
            <w:pPr>
              <w:widowControl/>
              <w:spacing w:line="260" w:lineRule="exact"/>
              <w:jc w:val="center"/>
              <w:rPr>
                <w:rFonts w:ascii="宋体" w:hAnsi="宋体" w:eastAsia="宋体" w:cs="宋体"/>
                <w:color w:val="000000" w:themeColor="text1"/>
                <w:kern w:val="0"/>
                <w:sz w:val="18"/>
                <w:szCs w:val="18"/>
              </w:rPr>
            </w:pPr>
          </w:p>
        </w:tc>
      </w:tr>
      <w:tr w14:paraId="672D643E">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single" w:color="auto" w:sz="4" w:space="0"/>
              <w:right w:val="single" w:color="auto" w:sz="4" w:space="0"/>
            </w:tcBorders>
            <w:vAlign w:val="center"/>
          </w:tcPr>
          <w:p w14:paraId="19D7C53A">
            <w:pPr>
              <w:widowControl/>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服务</w:t>
            </w:r>
          </w:p>
          <w:p w14:paraId="5BDB22A3">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态度</w:t>
            </w:r>
          </w:p>
        </w:tc>
        <w:tc>
          <w:tcPr>
            <w:tcW w:w="6697" w:type="dxa"/>
            <w:tcBorders>
              <w:top w:val="nil"/>
              <w:left w:val="nil"/>
              <w:bottom w:val="single" w:color="auto" w:sz="4" w:space="0"/>
              <w:right w:val="single" w:color="auto" w:sz="4" w:space="0"/>
            </w:tcBorders>
            <w:vAlign w:val="center"/>
          </w:tcPr>
          <w:p w14:paraId="73015711">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人员不按规定统一着装，或服装不整洁，每次扣1分。</w:t>
            </w:r>
          </w:p>
        </w:tc>
        <w:tc>
          <w:tcPr>
            <w:tcW w:w="732" w:type="dxa"/>
            <w:tcBorders>
              <w:top w:val="nil"/>
              <w:left w:val="nil"/>
              <w:bottom w:val="single" w:color="auto" w:sz="4" w:space="0"/>
              <w:right w:val="single" w:color="auto" w:sz="4" w:space="0"/>
            </w:tcBorders>
            <w:vAlign w:val="center"/>
          </w:tcPr>
          <w:p w14:paraId="6AEECF37">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auto" w:sz="4" w:space="0"/>
              <w:right w:val="single" w:color="auto" w:sz="4" w:space="0"/>
            </w:tcBorders>
            <w:vAlign w:val="center"/>
          </w:tcPr>
          <w:p w14:paraId="364FF8A4">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5FA53C19">
            <w:pPr>
              <w:widowControl/>
              <w:spacing w:line="260" w:lineRule="exact"/>
              <w:jc w:val="center"/>
              <w:rPr>
                <w:rFonts w:ascii="宋体" w:hAnsi="宋体" w:eastAsia="宋体" w:cs="宋体"/>
                <w:color w:val="000000" w:themeColor="text1"/>
                <w:kern w:val="0"/>
                <w:sz w:val="18"/>
                <w:szCs w:val="18"/>
              </w:rPr>
            </w:pPr>
          </w:p>
        </w:tc>
      </w:tr>
      <w:tr w14:paraId="5DE6DF28">
        <w:tblPrEx>
          <w:tblCellMar>
            <w:top w:w="0" w:type="dxa"/>
            <w:left w:w="108" w:type="dxa"/>
            <w:bottom w:w="0" w:type="dxa"/>
            <w:right w:w="108" w:type="dxa"/>
          </w:tblCellMar>
        </w:tblPrEx>
        <w:trPr>
          <w:trHeight w:val="96"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76B7C1BE">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42D746C4">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对采购方提出的意见和建议未及时进行反馈或改进的，一次扣1分。</w:t>
            </w:r>
          </w:p>
        </w:tc>
        <w:tc>
          <w:tcPr>
            <w:tcW w:w="732" w:type="dxa"/>
            <w:tcBorders>
              <w:top w:val="nil"/>
              <w:left w:val="nil"/>
              <w:bottom w:val="single" w:color="auto" w:sz="4" w:space="0"/>
              <w:right w:val="single" w:color="auto" w:sz="4" w:space="0"/>
            </w:tcBorders>
            <w:vAlign w:val="center"/>
          </w:tcPr>
          <w:p w14:paraId="39657E3D">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14:paraId="62DA73EA">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5C20D761">
            <w:pPr>
              <w:widowControl/>
              <w:spacing w:line="260" w:lineRule="exact"/>
              <w:jc w:val="center"/>
              <w:rPr>
                <w:rFonts w:ascii="宋体" w:hAnsi="宋体" w:eastAsia="宋体" w:cs="宋体"/>
                <w:color w:val="000000" w:themeColor="text1"/>
                <w:kern w:val="0"/>
                <w:sz w:val="18"/>
                <w:szCs w:val="18"/>
              </w:rPr>
            </w:pPr>
          </w:p>
        </w:tc>
      </w:tr>
      <w:tr w14:paraId="201A1A84">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72A06806">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7240DE1A">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物业工作要有计划流程、工作制度、监督考核办法，按采购方要求制定各种台账报表，未按采购方要求制定规章制度、工作台账，每项扣1分。</w:t>
            </w:r>
          </w:p>
        </w:tc>
        <w:tc>
          <w:tcPr>
            <w:tcW w:w="732" w:type="dxa"/>
            <w:tcBorders>
              <w:top w:val="nil"/>
              <w:left w:val="nil"/>
              <w:bottom w:val="single" w:color="auto" w:sz="4" w:space="0"/>
              <w:right w:val="single" w:color="auto" w:sz="4" w:space="0"/>
            </w:tcBorders>
            <w:vAlign w:val="center"/>
          </w:tcPr>
          <w:p w14:paraId="0220E5B2">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14:paraId="2A5C6F8D">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2813A297">
            <w:pPr>
              <w:widowControl/>
              <w:spacing w:line="260" w:lineRule="exact"/>
              <w:jc w:val="center"/>
              <w:rPr>
                <w:rFonts w:ascii="宋体" w:hAnsi="宋体" w:eastAsia="宋体" w:cs="宋体"/>
                <w:color w:val="000000" w:themeColor="text1"/>
                <w:kern w:val="0"/>
                <w:sz w:val="18"/>
                <w:szCs w:val="18"/>
              </w:rPr>
            </w:pPr>
          </w:p>
        </w:tc>
      </w:tr>
      <w:tr w14:paraId="64C46763">
        <w:tblPrEx>
          <w:tblCellMar>
            <w:top w:w="0" w:type="dxa"/>
            <w:left w:w="108" w:type="dxa"/>
            <w:bottom w:w="0" w:type="dxa"/>
            <w:right w:w="108" w:type="dxa"/>
          </w:tblCellMar>
        </w:tblPrEx>
        <w:trPr>
          <w:trHeight w:val="958" w:hRule="atLeast"/>
          <w:jc w:val="center"/>
        </w:trPr>
        <w:tc>
          <w:tcPr>
            <w:tcW w:w="802" w:type="dxa"/>
            <w:vMerge w:val="restart"/>
            <w:tcBorders>
              <w:top w:val="nil"/>
              <w:left w:val="single" w:color="auto" w:sz="4" w:space="0"/>
              <w:bottom w:val="nil"/>
              <w:right w:val="single" w:color="auto" w:sz="4" w:space="0"/>
            </w:tcBorders>
            <w:vAlign w:val="center"/>
          </w:tcPr>
          <w:p w14:paraId="71E5C2E9">
            <w:pPr>
              <w:widowControl/>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环境</w:t>
            </w:r>
          </w:p>
          <w:p w14:paraId="1FDE5315">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保洁</w:t>
            </w:r>
          </w:p>
        </w:tc>
        <w:tc>
          <w:tcPr>
            <w:tcW w:w="6697" w:type="dxa"/>
            <w:tcBorders>
              <w:top w:val="nil"/>
              <w:left w:val="nil"/>
              <w:bottom w:val="single" w:color="auto" w:sz="4" w:space="0"/>
              <w:right w:val="single" w:color="auto" w:sz="4" w:space="0"/>
            </w:tcBorders>
            <w:vAlign w:val="center"/>
          </w:tcPr>
          <w:p w14:paraId="549803D8">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室内外公共区域、教室、办公室、公共卫生间等所有保洁区域保洁不到位，未按照招标保洁标准实施，有明显污垢、垃圾或异味；垃圾箱清理不及时，垃圾堆满；垃圾箱外表面明显不洁净等，每项扣1分。</w:t>
            </w:r>
          </w:p>
        </w:tc>
        <w:tc>
          <w:tcPr>
            <w:tcW w:w="732" w:type="dxa"/>
            <w:tcBorders>
              <w:top w:val="nil"/>
              <w:left w:val="nil"/>
              <w:bottom w:val="single" w:color="auto" w:sz="4" w:space="0"/>
              <w:right w:val="single" w:color="auto" w:sz="4" w:space="0"/>
            </w:tcBorders>
            <w:vAlign w:val="center"/>
          </w:tcPr>
          <w:p w14:paraId="2836A982">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14:paraId="4DE24A46">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75C97CEF">
            <w:pPr>
              <w:widowControl/>
              <w:spacing w:line="260" w:lineRule="exact"/>
              <w:jc w:val="center"/>
              <w:rPr>
                <w:rFonts w:ascii="宋体" w:hAnsi="宋体" w:eastAsia="宋体" w:cs="宋体"/>
                <w:color w:val="000000" w:themeColor="text1"/>
                <w:kern w:val="0"/>
                <w:sz w:val="18"/>
                <w:szCs w:val="18"/>
              </w:rPr>
            </w:pPr>
          </w:p>
        </w:tc>
      </w:tr>
      <w:tr w14:paraId="68D1B725">
        <w:tblPrEx>
          <w:tblCellMar>
            <w:top w:w="0" w:type="dxa"/>
            <w:left w:w="108" w:type="dxa"/>
            <w:bottom w:w="0" w:type="dxa"/>
            <w:right w:w="108" w:type="dxa"/>
          </w:tblCellMar>
        </w:tblPrEx>
        <w:trPr>
          <w:trHeight w:val="210" w:hRule="atLeast"/>
          <w:jc w:val="center"/>
        </w:trPr>
        <w:tc>
          <w:tcPr>
            <w:tcW w:w="8231" w:type="dxa"/>
            <w:vMerge w:val="continue"/>
            <w:tcBorders>
              <w:top w:val="nil"/>
              <w:left w:val="single" w:color="auto" w:sz="4" w:space="0"/>
              <w:bottom w:val="nil"/>
              <w:right w:val="single" w:color="auto" w:sz="4" w:space="0"/>
            </w:tcBorders>
            <w:vAlign w:val="center"/>
          </w:tcPr>
          <w:p w14:paraId="2FA4DCA2">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0029DFB9">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保洁方式、措施不当，造成设施设备损坏有明显痕迹无法修复的，每项扣1分。</w:t>
            </w:r>
          </w:p>
        </w:tc>
        <w:tc>
          <w:tcPr>
            <w:tcW w:w="732" w:type="dxa"/>
            <w:tcBorders>
              <w:top w:val="single" w:color="auto" w:sz="4" w:space="0"/>
              <w:left w:val="nil"/>
              <w:bottom w:val="single" w:color="auto" w:sz="4" w:space="0"/>
              <w:right w:val="single" w:color="auto" w:sz="4" w:space="0"/>
            </w:tcBorders>
            <w:vAlign w:val="center"/>
          </w:tcPr>
          <w:p w14:paraId="7011099D">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265A4795">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67E88BBD">
            <w:pPr>
              <w:widowControl/>
              <w:spacing w:line="260" w:lineRule="exact"/>
              <w:jc w:val="center"/>
              <w:rPr>
                <w:rFonts w:ascii="宋体" w:hAnsi="宋体" w:eastAsia="宋体" w:cs="宋体"/>
                <w:color w:val="000000" w:themeColor="text1"/>
                <w:kern w:val="0"/>
                <w:sz w:val="18"/>
                <w:szCs w:val="18"/>
              </w:rPr>
            </w:pPr>
          </w:p>
        </w:tc>
      </w:tr>
      <w:tr w14:paraId="2F8D1FAA">
        <w:tblPrEx>
          <w:tblCellMar>
            <w:top w:w="0" w:type="dxa"/>
            <w:left w:w="108" w:type="dxa"/>
            <w:bottom w:w="0" w:type="dxa"/>
            <w:right w:w="108" w:type="dxa"/>
          </w:tblCellMar>
        </w:tblPrEx>
        <w:trPr>
          <w:trHeight w:val="406" w:hRule="atLeast"/>
          <w:jc w:val="center"/>
        </w:trPr>
        <w:tc>
          <w:tcPr>
            <w:tcW w:w="802" w:type="dxa"/>
            <w:vMerge w:val="restart"/>
            <w:tcBorders>
              <w:top w:val="nil"/>
              <w:left w:val="single" w:color="auto" w:sz="4" w:space="0"/>
              <w:bottom w:val="nil"/>
              <w:right w:val="single" w:color="auto" w:sz="4" w:space="0"/>
            </w:tcBorders>
            <w:vAlign w:val="center"/>
          </w:tcPr>
          <w:p w14:paraId="726FABB2">
            <w:pPr>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安全</w:t>
            </w:r>
          </w:p>
          <w:p w14:paraId="1FE44A27">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秩序</w:t>
            </w:r>
          </w:p>
        </w:tc>
        <w:tc>
          <w:tcPr>
            <w:tcW w:w="6697" w:type="dxa"/>
            <w:tcBorders>
              <w:top w:val="nil"/>
              <w:left w:val="nil"/>
              <w:bottom w:val="single" w:color="auto" w:sz="4" w:space="0"/>
              <w:right w:val="single" w:color="auto" w:sz="4" w:space="0"/>
            </w:tcBorders>
            <w:vAlign w:val="center"/>
          </w:tcPr>
          <w:p w14:paraId="76FB38FC">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未建立安全管理制度；各责任人不切实履行安全责任，防火、防盗、防爆、防毒等工作落实不到位；违反安全规定或安全操作规程，酿成意外事故或灾害的每次扣10分。</w:t>
            </w:r>
          </w:p>
        </w:tc>
        <w:tc>
          <w:tcPr>
            <w:tcW w:w="732" w:type="dxa"/>
            <w:tcBorders>
              <w:top w:val="nil"/>
              <w:left w:val="nil"/>
              <w:bottom w:val="single" w:color="auto" w:sz="4" w:space="0"/>
              <w:right w:val="single" w:color="auto" w:sz="4" w:space="0"/>
            </w:tcBorders>
            <w:vAlign w:val="center"/>
          </w:tcPr>
          <w:p w14:paraId="55E11E1E">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14:paraId="6A94E631">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17626D94">
            <w:pPr>
              <w:widowControl/>
              <w:spacing w:line="260" w:lineRule="exact"/>
              <w:jc w:val="center"/>
              <w:rPr>
                <w:rFonts w:ascii="宋体" w:hAnsi="宋体" w:eastAsia="宋体" w:cs="宋体"/>
                <w:color w:val="000000" w:themeColor="text1"/>
                <w:kern w:val="0"/>
                <w:sz w:val="18"/>
                <w:szCs w:val="18"/>
              </w:rPr>
            </w:pPr>
          </w:p>
        </w:tc>
      </w:tr>
      <w:tr w14:paraId="7709A3FF">
        <w:tblPrEx>
          <w:tblCellMar>
            <w:top w:w="0" w:type="dxa"/>
            <w:left w:w="108" w:type="dxa"/>
            <w:bottom w:w="0" w:type="dxa"/>
            <w:right w:w="108" w:type="dxa"/>
          </w:tblCellMar>
        </w:tblPrEx>
        <w:trPr>
          <w:trHeight w:val="165" w:hRule="atLeast"/>
          <w:jc w:val="center"/>
        </w:trPr>
        <w:tc>
          <w:tcPr>
            <w:tcW w:w="8231" w:type="dxa"/>
            <w:vMerge w:val="continue"/>
            <w:tcBorders>
              <w:top w:val="nil"/>
              <w:left w:val="single" w:color="auto" w:sz="4" w:space="0"/>
              <w:bottom w:val="nil"/>
              <w:right w:val="single" w:color="auto" w:sz="4" w:space="0"/>
            </w:tcBorders>
            <w:vAlign w:val="center"/>
          </w:tcPr>
          <w:p w14:paraId="6DBA917C">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71DC8D4F">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人员不熟悉安全操作规范、各类应急预案和消防安全常识，不会正确及时地进行初期处置、开展自救互救降低损失的，每次扣1分；造成不良后果的，每次扣20分。</w:t>
            </w:r>
          </w:p>
        </w:tc>
        <w:tc>
          <w:tcPr>
            <w:tcW w:w="732" w:type="dxa"/>
            <w:tcBorders>
              <w:top w:val="single" w:color="auto" w:sz="4" w:space="0"/>
              <w:left w:val="nil"/>
              <w:bottom w:val="single" w:color="auto" w:sz="4" w:space="0"/>
              <w:right w:val="single" w:color="auto" w:sz="4" w:space="0"/>
            </w:tcBorders>
            <w:vAlign w:val="center"/>
          </w:tcPr>
          <w:p w14:paraId="635E968C">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647E3F27">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0A57244C">
            <w:pPr>
              <w:widowControl/>
              <w:spacing w:line="260" w:lineRule="exact"/>
              <w:jc w:val="center"/>
              <w:rPr>
                <w:rFonts w:ascii="宋体" w:hAnsi="宋体" w:eastAsia="宋体" w:cs="宋体"/>
                <w:color w:val="000000" w:themeColor="text1"/>
                <w:kern w:val="0"/>
                <w:sz w:val="18"/>
                <w:szCs w:val="18"/>
              </w:rPr>
            </w:pPr>
          </w:p>
        </w:tc>
      </w:tr>
      <w:tr w14:paraId="17FFF307">
        <w:tblPrEx>
          <w:tblCellMar>
            <w:top w:w="0" w:type="dxa"/>
            <w:left w:w="108" w:type="dxa"/>
            <w:bottom w:w="0" w:type="dxa"/>
            <w:right w:w="108" w:type="dxa"/>
          </w:tblCellMar>
        </w:tblPrEx>
        <w:trPr>
          <w:trHeight w:val="165" w:hRule="atLeast"/>
          <w:jc w:val="center"/>
        </w:trPr>
        <w:tc>
          <w:tcPr>
            <w:tcW w:w="8231" w:type="dxa"/>
            <w:vMerge w:val="continue"/>
            <w:tcBorders>
              <w:top w:val="nil"/>
              <w:left w:val="single" w:color="auto" w:sz="4" w:space="0"/>
              <w:bottom w:val="nil"/>
              <w:right w:val="single" w:color="auto" w:sz="4" w:space="0"/>
            </w:tcBorders>
            <w:vAlign w:val="center"/>
          </w:tcPr>
          <w:p w14:paraId="145390F0">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5B96F1E6">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严禁物业人员使用违规电器，发现一次扣1分。</w:t>
            </w:r>
          </w:p>
        </w:tc>
        <w:tc>
          <w:tcPr>
            <w:tcW w:w="732" w:type="dxa"/>
            <w:tcBorders>
              <w:top w:val="single" w:color="auto" w:sz="4" w:space="0"/>
              <w:left w:val="nil"/>
              <w:bottom w:val="single" w:color="auto" w:sz="4" w:space="0"/>
              <w:right w:val="single" w:color="auto" w:sz="4" w:space="0"/>
            </w:tcBorders>
            <w:vAlign w:val="center"/>
          </w:tcPr>
          <w:p w14:paraId="76FD2EBC">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75F0ADBA">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2FA28828">
            <w:pPr>
              <w:widowControl/>
              <w:spacing w:line="260" w:lineRule="exact"/>
              <w:jc w:val="center"/>
              <w:rPr>
                <w:rFonts w:ascii="宋体" w:hAnsi="宋体" w:eastAsia="宋体" w:cs="宋体"/>
                <w:color w:val="000000" w:themeColor="text1"/>
                <w:kern w:val="0"/>
                <w:sz w:val="18"/>
                <w:szCs w:val="18"/>
              </w:rPr>
            </w:pPr>
          </w:p>
        </w:tc>
      </w:tr>
      <w:tr w14:paraId="27E7E4F3">
        <w:tblPrEx>
          <w:tblCellMar>
            <w:top w:w="0" w:type="dxa"/>
            <w:left w:w="108" w:type="dxa"/>
            <w:bottom w:w="0" w:type="dxa"/>
            <w:right w:w="108" w:type="dxa"/>
          </w:tblCellMar>
        </w:tblPrEx>
        <w:trPr>
          <w:trHeight w:val="105" w:hRule="atLeast"/>
          <w:jc w:val="center"/>
        </w:trPr>
        <w:tc>
          <w:tcPr>
            <w:tcW w:w="8231" w:type="dxa"/>
            <w:vMerge w:val="continue"/>
            <w:tcBorders>
              <w:top w:val="nil"/>
              <w:left w:val="single" w:color="auto" w:sz="4" w:space="0"/>
              <w:bottom w:val="nil"/>
              <w:right w:val="single" w:color="auto" w:sz="4" w:space="0"/>
            </w:tcBorders>
            <w:vAlign w:val="center"/>
          </w:tcPr>
          <w:p w14:paraId="425C2FD9">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507FF1ED">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安全巡查、安全检查要定期进行并建立台账，未按要求进行检查或未建立台账的，发现一次扣1分。</w:t>
            </w:r>
          </w:p>
        </w:tc>
        <w:tc>
          <w:tcPr>
            <w:tcW w:w="732" w:type="dxa"/>
            <w:tcBorders>
              <w:top w:val="single" w:color="auto" w:sz="4" w:space="0"/>
              <w:left w:val="nil"/>
              <w:bottom w:val="single" w:color="auto" w:sz="4" w:space="0"/>
              <w:right w:val="single" w:color="auto" w:sz="4" w:space="0"/>
            </w:tcBorders>
            <w:vAlign w:val="center"/>
          </w:tcPr>
          <w:p w14:paraId="1ECD57DC">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52072B9E">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00525F08">
            <w:pPr>
              <w:widowControl/>
              <w:spacing w:line="260" w:lineRule="exact"/>
              <w:jc w:val="center"/>
              <w:rPr>
                <w:rFonts w:ascii="宋体" w:hAnsi="宋体" w:eastAsia="宋体" w:cs="宋体"/>
                <w:color w:val="000000" w:themeColor="text1"/>
                <w:kern w:val="0"/>
                <w:sz w:val="18"/>
                <w:szCs w:val="18"/>
              </w:rPr>
            </w:pPr>
          </w:p>
        </w:tc>
      </w:tr>
      <w:tr w14:paraId="0B145A01">
        <w:tblPrEx>
          <w:tblCellMar>
            <w:top w:w="0" w:type="dxa"/>
            <w:left w:w="108" w:type="dxa"/>
            <w:bottom w:w="0" w:type="dxa"/>
            <w:right w:w="108" w:type="dxa"/>
          </w:tblCellMar>
        </w:tblPrEx>
        <w:trPr>
          <w:trHeight w:val="300" w:hRule="atLeast"/>
          <w:jc w:val="center"/>
        </w:trPr>
        <w:tc>
          <w:tcPr>
            <w:tcW w:w="802" w:type="dxa"/>
            <w:vMerge w:val="restart"/>
            <w:tcBorders>
              <w:top w:val="nil"/>
              <w:left w:val="single" w:color="auto" w:sz="4" w:space="0"/>
              <w:bottom w:val="nil"/>
              <w:right w:val="single" w:color="auto" w:sz="4" w:space="0"/>
            </w:tcBorders>
            <w:vAlign w:val="center"/>
          </w:tcPr>
          <w:p w14:paraId="6A62EF2B">
            <w:pPr>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绿化养</w:t>
            </w:r>
          </w:p>
          <w:p w14:paraId="5AF7393D">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护管理</w:t>
            </w:r>
          </w:p>
        </w:tc>
        <w:tc>
          <w:tcPr>
            <w:tcW w:w="6697" w:type="dxa"/>
            <w:tcBorders>
              <w:top w:val="single" w:color="auto" w:sz="4" w:space="0"/>
              <w:left w:val="nil"/>
              <w:bottom w:val="single" w:color="auto" w:sz="4" w:space="0"/>
              <w:right w:val="single" w:color="auto" w:sz="4" w:space="0"/>
            </w:tcBorders>
            <w:vAlign w:val="center"/>
          </w:tcPr>
          <w:p w14:paraId="6EFC48E4">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派专业人员根据每种绿植的特征对租摆植物定期进行浇水、施肥、培育、修剪枝杈及防治病虫害，未及时更换死亡的植株，每次扣1分。</w:t>
            </w:r>
          </w:p>
        </w:tc>
        <w:tc>
          <w:tcPr>
            <w:tcW w:w="732" w:type="dxa"/>
            <w:tcBorders>
              <w:top w:val="single" w:color="auto" w:sz="4" w:space="0"/>
              <w:left w:val="nil"/>
              <w:bottom w:val="single" w:color="auto" w:sz="4" w:space="0"/>
              <w:right w:val="single" w:color="auto" w:sz="4" w:space="0"/>
            </w:tcBorders>
            <w:vAlign w:val="center"/>
          </w:tcPr>
          <w:p w14:paraId="0F8C576C">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14:paraId="77B7A653">
            <w:pPr>
              <w:widowControl/>
              <w:spacing w:line="260" w:lineRule="exact"/>
              <w:jc w:val="center"/>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0616FB7A">
            <w:pPr>
              <w:widowControl/>
              <w:spacing w:line="260" w:lineRule="exact"/>
              <w:jc w:val="center"/>
              <w:rPr>
                <w:rFonts w:ascii="宋体" w:hAnsi="宋体" w:eastAsia="宋体" w:cs="宋体"/>
                <w:color w:val="000000" w:themeColor="text1"/>
                <w:kern w:val="0"/>
                <w:sz w:val="18"/>
                <w:szCs w:val="18"/>
              </w:rPr>
            </w:pPr>
          </w:p>
        </w:tc>
      </w:tr>
      <w:tr w14:paraId="7135F33C">
        <w:tblPrEx>
          <w:tblCellMar>
            <w:top w:w="0" w:type="dxa"/>
            <w:left w:w="108" w:type="dxa"/>
            <w:bottom w:w="0" w:type="dxa"/>
            <w:right w:w="108" w:type="dxa"/>
          </w:tblCellMar>
        </w:tblPrEx>
        <w:trPr>
          <w:trHeight w:val="270" w:hRule="atLeast"/>
          <w:jc w:val="center"/>
        </w:trPr>
        <w:tc>
          <w:tcPr>
            <w:tcW w:w="8231" w:type="dxa"/>
            <w:vMerge w:val="continue"/>
            <w:tcBorders>
              <w:top w:val="nil"/>
              <w:left w:val="single" w:color="auto" w:sz="4" w:space="0"/>
              <w:bottom w:val="nil"/>
              <w:right w:val="single" w:color="auto" w:sz="4" w:space="0"/>
            </w:tcBorders>
            <w:vAlign w:val="center"/>
          </w:tcPr>
          <w:p w14:paraId="6DF82963">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6C0AEB0F">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未及时修剪乔木、灌木，保持整体美观，每次扣1分。</w:t>
            </w:r>
          </w:p>
        </w:tc>
        <w:tc>
          <w:tcPr>
            <w:tcW w:w="732" w:type="dxa"/>
            <w:tcBorders>
              <w:top w:val="single" w:color="auto" w:sz="4" w:space="0"/>
              <w:left w:val="nil"/>
              <w:bottom w:val="single" w:color="auto" w:sz="4" w:space="0"/>
              <w:right w:val="single" w:color="auto" w:sz="4" w:space="0"/>
            </w:tcBorders>
            <w:vAlign w:val="center"/>
          </w:tcPr>
          <w:p w14:paraId="2CD95D72">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42D9AEBF">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5E9DAE87">
            <w:pPr>
              <w:widowControl/>
              <w:spacing w:line="260" w:lineRule="exact"/>
              <w:jc w:val="center"/>
              <w:rPr>
                <w:rFonts w:ascii="宋体" w:hAnsi="宋体" w:eastAsia="宋体" w:cs="宋体"/>
                <w:color w:val="000000" w:themeColor="text1"/>
                <w:kern w:val="0"/>
                <w:sz w:val="18"/>
                <w:szCs w:val="18"/>
              </w:rPr>
            </w:pPr>
          </w:p>
        </w:tc>
      </w:tr>
      <w:tr w14:paraId="1AF4CA8E">
        <w:tblPrEx>
          <w:tblCellMar>
            <w:top w:w="0" w:type="dxa"/>
            <w:left w:w="108" w:type="dxa"/>
            <w:bottom w:w="0" w:type="dxa"/>
            <w:right w:w="108" w:type="dxa"/>
          </w:tblCellMar>
        </w:tblPrEx>
        <w:trPr>
          <w:trHeight w:val="315" w:hRule="atLeast"/>
          <w:jc w:val="center"/>
        </w:trPr>
        <w:tc>
          <w:tcPr>
            <w:tcW w:w="8231" w:type="dxa"/>
            <w:vMerge w:val="continue"/>
            <w:tcBorders>
              <w:top w:val="nil"/>
              <w:left w:val="single" w:color="auto" w:sz="4" w:space="0"/>
              <w:bottom w:val="nil"/>
              <w:right w:val="single" w:color="auto" w:sz="4" w:space="0"/>
            </w:tcBorders>
            <w:vAlign w:val="center"/>
          </w:tcPr>
          <w:p w14:paraId="6D107772">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6E7CE51B">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采购方应根据植物生长的实际情况对内庭绿化进行浇水、除草、修剪、施肥、病虫害防治等，因采购方养护不当造成植物死亡，除及时补栽相同物种外，每死亡一株乔木、灌木、盆景扣1分。</w:t>
            </w:r>
          </w:p>
        </w:tc>
        <w:tc>
          <w:tcPr>
            <w:tcW w:w="732" w:type="dxa"/>
            <w:tcBorders>
              <w:top w:val="single" w:color="auto" w:sz="4" w:space="0"/>
              <w:left w:val="nil"/>
              <w:bottom w:val="single" w:color="auto" w:sz="4" w:space="0"/>
              <w:right w:val="single" w:color="auto" w:sz="4" w:space="0"/>
            </w:tcBorders>
            <w:vAlign w:val="center"/>
          </w:tcPr>
          <w:p w14:paraId="6F7DCD24">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23D965D4">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0418A916">
            <w:pPr>
              <w:widowControl/>
              <w:spacing w:line="260" w:lineRule="exact"/>
              <w:jc w:val="center"/>
              <w:rPr>
                <w:rFonts w:ascii="宋体" w:hAnsi="宋体" w:eastAsia="宋体" w:cs="宋体"/>
                <w:color w:val="000000" w:themeColor="text1"/>
                <w:kern w:val="0"/>
                <w:sz w:val="18"/>
                <w:szCs w:val="18"/>
              </w:rPr>
            </w:pPr>
          </w:p>
        </w:tc>
      </w:tr>
      <w:tr w14:paraId="488BC8E3">
        <w:tblPrEx>
          <w:tblCellMar>
            <w:top w:w="0" w:type="dxa"/>
            <w:left w:w="108" w:type="dxa"/>
            <w:bottom w:w="0" w:type="dxa"/>
            <w:right w:w="108" w:type="dxa"/>
          </w:tblCellMar>
        </w:tblPrEx>
        <w:trPr>
          <w:trHeight w:val="260" w:hRule="atLeast"/>
          <w:jc w:val="center"/>
        </w:trPr>
        <w:tc>
          <w:tcPr>
            <w:tcW w:w="802" w:type="dxa"/>
            <w:vMerge w:val="restart"/>
            <w:tcBorders>
              <w:top w:val="nil"/>
              <w:left w:val="single" w:color="auto" w:sz="4" w:space="0"/>
              <w:bottom w:val="single" w:color="auto" w:sz="4" w:space="0"/>
              <w:right w:val="single" w:color="auto" w:sz="4" w:space="0"/>
            </w:tcBorders>
            <w:vAlign w:val="center"/>
          </w:tcPr>
          <w:p w14:paraId="2808B0F2">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多媒体教室管理与会议服务</w:t>
            </w:r>
          </w:p>
        </w:tc>
        <w:tc>
          <w:tcPr>
            <w:tcW w:w="6697" w:type="dxa"/>
            <w:tcBorders>
              <w:top w:val="single" w:color="auto" w:sz="4" w:space="0"/>
              <w:left w:val="nil"/>
              <w:bottom w:val="single" w:color="auto" w:sz="4" w:space="0"/>
              <w:right w:val="single" w:color="auto" w:sz="4" w:space="0"/>
            </w:tcBorders>
            <w:vAlign w:val="center"/>
          </w:tcPr>
          <w:p w14:paraId="76C5A143">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多媒体教室管理员、会议服务人员要履行好所属区域的管理职责，及时做好多媒体设施设备的检查和卫生保洁。未按要要求进行检查和保洁的，每间扣0.5分。</w:t>
            </w:r>
          </w:p>
        </w:tc>
        <w:tc>
          <w:tcPr>
            <w:tcW w:w="732" w:type="dxa"/>
            <w:tcBorders>
              <w:top w:val="single" w:color="auto" w:sz="4" w:space="0"/>
              <w:left w:val="nil"/>
              <w:bottom w:val="single" w:color="auto" w:sz="4" w:space="0"/>
              <w:right w:val="single" w:color="auto" w:sz="4" w:space="0"/>
            </w:tcBorders>
            <w:vAlign w:val="center"/>
          </w:tcPr>
          <w:p w14:paraId="479151AA">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000000" w:sz="4" w:space="0"/>
              <w:right w:val="single" w:color="auto" w:sz="4" w:space="0"/>
            </w:tcBorders>
            <w:vAlign w:val="center"/>
          </w:tcPr>
          <w:p w14:paraId="2F04D195">
            <w:pPr>
              <w:widowControl/>
              <w:spacing w:line="260" w:lineRule="exact"/>
              <w:jc w:val="center"/>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24325DAE">
            <w:pPr>
              <w:widowControl/>
              <w:spacing w:line="260" w:lineRule="exact"/>
              <w:jc w:val="center"/>
              <w:rPr>
                <w:rFonts w:ascii="宋体" w:hAnsi="宋体" w:eastAsia="宋体" w:cs="宋体"/>
                <w:color w:val="000000" w:themeColor="text1"/>
                <w:kern w:val="0"/>
                <w:sz w:val="18"/>
                <w:szCs w:val="18"/>
              </w:rPr>
            </w:pPr>
          </w:p>
        </w:tc>
      </w:tr>
      <w:tr w14:paraId="029D7D47">
        <w:tblPrEx>
          <w:tblCellMar>
            <w:top w:w="0" w:type="dxa"/>
            <w:left w:w="108" w:type="dxa"/>
            <w:bottom w:w="0" w:type="dxa"/>
            <w:right w:w="108" w:type="dxa"/>
          </w:tblCellMar>
        </w:tblPrEx>
        <w:trPr>
          <w:trHeight w:val="421"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05785A2E">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0C34F6FA">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负责每学期开学前对所有多媒体投影系统、控制系统的一般性故障排除及设备清洁。负责电脑系统的维修、维护、清理及软件安装、更新、重装。每周进行一次全面检查，做好记录，及时排除各种故障，保证会议和教学正常使用，因管理不到位造成重大事故隐患或事故的一次扣2分。</w:t>
            </w:r>
          </w:p>
        </w:tc>
        <w:tc>
          <w:tcPr>
            <w:tcW w:w="732" w:type="dxa"/>
            <w:tcBorders>
              <w:top w:val="nil"/>
              <w:left w:val="nil"/>
              <w:bottom w:val="single" w:color="auto" w:sz="4" w:space="0"/>
              <w:right w:val="single" w:color="auto" w:sz="4" w:space="0"/>
            </w:tcBorders>
            <w:vAlign w:val="center"/>
          </w:tcPr>
          <w:p w14:paraId="4D380FAF">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14:paraId="35E6D210">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6F9646F1">
            <w:pPr>
              <w:widowControl/>
              <w:spacing w:line="260" w:lineRule="exact"/>
              <w:jc w:val="center"/>
              <w:rPr>
                <w:rFonts w:ascii="宋体" w:hAnsi="宋体" w:eastAsia="宋体" w:cs="宋体"/>
                <w:color w:val="000000" w:themeColor="text1"/>
                <w:kern w:val="0"/>
                <w:sz w:val="18"/>
                <w:szCs w:val="18"/>
              </w:rPr>
            </w:pPr>
          </w:p>
        </w:tc>
      </w:tr>
      <w:tr w14:paraId="06222283">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nil"/>
              <w:right w:val="single" w:color="auto" w:sz="4" w:space="0"/>
            </w:tcBorders>
            <w:vAlign w:val="center"/>
          </w:tcPr>
          <w:p w14:paraId="0A2E447C">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设施设备管理与维修</w:t>
            </w:r>
          </w:p>
        </w:tc>
        <w:tc>
          <w:tcPr>
            <w:tcW w:w="6697" w:type="dxa"/>
            <w:tcBorders>
              <w:top w:val="nil"/>
              <w:left w:val="nil"/>
              <w:bottom w:val="single" w:color="auto" w:sz="4" w:space="0"/>
              <w:right w:val="single" w:color="auto" w:sz="4" w:space="0"/>
            </w:tcBorders>
            <w:vAlign w:val="center"/>
          </w:tcPr>
          <w:p w14:paraId="6987BE7E">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水电设施设备出现故障时，维修人员未在10分钟内到达现场；发生电梯困人问题时，协助处理人员未在10分钟内到达现场；消防设施设备出现损坏或失效，每次处扣1分。</w:t>
            </w:r>
          </w:p>
        </w:tc>
        <w:tc>
          <w:tcPr>
            <w:tcW w:w="732" w:type="dxa"/>
            <w:tcBorders>
              <w:top w:val="nil"/>
              <w:left w:val="nil"/>
              <w:bottom w:val="single" w:color="auto" w:sz="4" w:space="0"/>
              <w:right w:val="single" w:color="auto" w:sz="4" w:space="0"/>
            </w:tcBorders>
            <w:vAlign w:val="center"/>
          </w:tcPr>
          <w:p w14:paraId="40FAEF6F">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14:paraId="57B609BB">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7A95BC25">
            <w:pPr>
              <w:widowControl/>
              <w:spacing w:line="260" w:lineRule="exact"/>
              <w:jc w:val="center"/>
              <w:rPr>
                <w:rFonts w:ascii="宋体" w:hAnsi="宋体" w:eastAsia="宋体" w:cs="宋体"/>
                <w:color w:val="000000" w:themeColor="text1"/>
                <w:kern w:val="0"/>
                <w:sz w:val="18"/>
                <w:szCs w:val="18"/>
              </w:rPr>
            </w:pPr>
          </w:p>
        </w:tc>
      </w:tr>
      <w:tr w14:paraId="655BDA10">
        <w:tblPrEx>
          <w:tblCellMar>
            <w:top w:w="0" w:type="dxa"/>
            <w:left w:w="108" w:type="dxa"/>
            <w:bottom w:w="0" w:type="dxa"/>
            <w:right w:w="108" w:type="dxa"/>
          </w:tblCellMar>
        </w:tblPrEx>
        <w:trPr>
          <w:trHeight w:val="450" w:hRule="atLeast"/>
          <w:jc w:val="center"/>
        </w:trPr>
        <w:tc>
          <w:tcPr>
            <w:tcW w:w="8231" w:type="dxa"/>
            <w:vMerge w:val="continue"/>
            <w:tcBorders>
              <w:top w:val="nil"/>
              <w:left w:val="single" w:color="auto" w:sz="4" w:space="0"/>
              <w:bottom w:val="nil"/>
              <w:right w:val="single" w:color="auto" w:sz="4" w:space="0"/>
            </w:tcBorders>
            <w:vAlign w:val="center"/>
          </w:tcPr>
          <w:p w14:paraId="450ACC76">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00360FA1">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不按操作规程操作、使用设施设备，或未及时对设施设备进行保养维护，造成设施设备非正常损坏的，每次扣3分。</w:t>
            </w:r>
          </w:p>
        </w:tc>
        <w:tc>
          <w:tcPr>
            <w:tcW w:w="732" w:type="dxa"/>
            <w:tcBorders>
              <w:top w:val="nil"/>
              <w:left w:val="nil"/>
              <w:bottom w:val="single" w:color="auto" w:sz="4" w:space="0"/>
              <w:right w:val="single" w:color="auto" w:sz="4" w:space="0"/>
            </w:tcBorders>
            <w:vAlign w:val="center"/>
          </w:tcPr>
          <w:p w14:paraId="112CF1F6">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1C931403">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7DEE6B99">
            <w:pPr>
              <w:widowControl/>
              <w:spacing w:line="260" w:lineRule="exact"/>
              <w:jc w:val="center"/>
              <w:rPr>
                <w:rFonts w:ascii="宋体" w:hAnsi="宋体" w:eastAsia="宋体" w:cs="宋体"/>
                <w:color w:val="000000" w:themeColor="text1"/>
                <w:kern w:val="0"/>
                <w:sz w:val="18"/>
                <w:szCs w:val="18"/>
              </w:rPr>
            </w:pPr>
          </w:p>
        </w:tc>
      </w:tr>
      <w:tr w14:paraId="21EA608A">
        <w:tblPrEx>
          <w:tblCellMar>
            <w:top w:w="0" w:type="dxa"/>
            <w:left w:w="108" w:type="dxa"/>
            <w:bottom w:w="0" w:type="dxa"/>
            <w:right w:w="108" w:type="dxa"/>
          </w:tblCellMar>
        </w:tblPrEx>
        <w:trPr>
          <w:trHeight w:val="315" w:hRule="atLeast"/>
          <w:jc w:val="center"/>
        </w:trPr>
        <w:tc>
          <w:tcPr>
            <w:tcW w:w="8231" w:type="dxa"/>
            <w:vMerge w:val="continue"/>
            <w:tcBorders>
              <w:top w:val="nil"/>
              <w:left w:val="single" w:color="auto" w:sz="4" w:space="0"/>
              <w:bottom w:val="nil"/>
              <w:right w:val="single" w:color="auto" w:sz="4" w:space="0"/>
            </w:tcBorders>
            <w:vAlign w:val="center"/>
          </w:tcPr>
          <w:p w14:paraId="71667396">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738FBF58">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未建立并落实配送电运行制度，电气维修制度和配电房管理制度，24小时运行维修值班等制度，每次每项扣1分。</w:t>
            </w:r>
          </w:p>
        </w:tc>
        <w:tc>
          <w:tcPr>
            <w:tcW w:w="732" w:type="dxa"/>
            <w:tcBorders>
              <w:top w:val="nil"/>
              <w:left w:val="nil"/>
              <w:bottom w:val="single" w:color="auto" w:sz="4" w:space="0"/>
              <w:right w:val="single" w:color="auto" w:sz="4" w:space="0"/>
            </w:tcBorders>
            <w:vAlign w:val="center"/>
          </w:tcPr>
          <w:p w14:paraId="4484CB8C">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09966DB2">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1E631754">
            <w:pPr>
              <w:widowControl/>
              <w:spacing w:line="260" w:lineRule="exact"/>
              <w:jc w:val="center"/>
              <w:rPr>
                <w:rFonts w:ascii="宋体" w:hAnsi="宋体" w:eastAsia="宋体" w:cs="宋体"/>
                <w:color w:val="000000" w:themeColor="text1"/>
                <w:kern w:val="0"/>
                <w:sz w:val="18"/>
                <w:szCs w:val="18"/>
              </w:rPr>
            </w:pPr>
          </w:p>
        </w:tc>
      </w:tr>
      <w:tr w14:paraId="00A814C4">
        <w:tblPrEx>
          <w:tblCellMar>
            <w:top w:w="0" w:type="dxa"/>
            <w:left w:w="108" w:type="dxa"/>
            <w:bottom w:w="0" w:type="dxa"/>
            <w:right w:w="108" w:type="dxa"/>
          </w:tblCellMar>
        </w:tblPrEx>
        <w:trPr>
          <w:trHeight w:val="395" w:hRule="atLeast"/>
          <w:jc w:val="center"/>
        </w:trPr>
        <w:tc>
          <w:tcPr>
            <w:tcW w:w="8231" w:type="dxa"/>
            <w:vMerge w:val="continue"/>
            <w:tcBorders>
              <w:top w:val="nil"/>
              <w:left w:val="single" w:color="auto" w:sz="4" w:space="0"/>
              <w:bottom w:val="nil"/>
              <w:right w:val="single" w:color="auto" w:sz="4" w:space="0"/>
            </w:tcBorders>
            <w:vAlign w:val="center"/>
          </w:tcPr>
          <w:p w14:paraId="3574A84F">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4D481EC8">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未按时开关教室门，影响正常教学活动的，每次扣3分；未及时修补建筑物内公共门、窗、桌椅及实施2000元以内（单项/件，不累计计算）的水电土木、公共设施的恢复性维修，每次扣1分。</w:t>
            </w:r>
          </w:p>
        </w:tc>
        <w:tc>
          <w:tcPr>
            <w:tcW w:w="732" w:type="dxa"/>
            <w:tcBorders>
              <w:top w:val="single" w:color="auto" w:sz="4" w:space="0"/>
              <w:left w:val="nil"/>
              <w:bottom w:val="single" w:color="auto" w:sz="4" w:space="0"/>
              <w:right w:val="single" w:color="auto" w:sz="4" w:space="0"/>
            </w:tcBorders>
            <w:vAlign w:val="center"/>
          </w:tcPr>
          <w:p w14:paraId="195BB334">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5B17C896">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5F493016">
            <w:pPr>
              <w:widowControl/>
              <w:spacing w:line="260" w:lineRule="exact"/>
              <w:jc w:val="center"/>
              <w:rPr>
                <w:rFonts w:ascii="宋体" w:hAnsi="宋体" w:eastAsia="宋体" w:cs="宋体"/>
                <w:color w:val="000000" w:themeColor="text1"/>
                <w:kern w:val="0"/>
                <w:sz w:val="18"/>
                <w:szCs w:val="18"/>
              </w:rPr>
            </w:pPr>
          </w:p>
        </w:tc>
      </w:tr>
      <w:tr w14:paraId="5400ABCC">
        <w:tblPrEx>
          <w:tblCellMar>
            <w:top w:w="0" w:type="dxa"/>
            <w:left w:w="108" w:type="dxa"/>
            <w:bottom w:w="0" w:type="dxa"/>
            <w:right w:w="108" w:type="dxa"/>
          </w:tblCellMar>
        </w:tblPrEx>
        <w:trPr>
          <w:trHeight w:val="285" w:hRule="atLeast"/>
          <w:jc w:val="center"/>
        </w:trPr>
        <w:tc>
          <w:tcPr>
            <w:tcW w:w="8231" w:type="dxa"/>
            <w:vMerge w:val="continue"/>
            <w:tcBorders>
              <w:top w:val="nil"/>
              <w:left w:val="single" w:color="auto" w:sz="4" w:space="0"/>
              <w:bottom w:val="nil"/>
              <w:right w:val="single" w:color="auto" w:sz="4" w:space="0"/>
            </w:tcBorders>
            <w:vAlign w:val="center"/>
          </w:tcPr>
          <w:p w14:paraId="582A8ACA">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14:paraId="058542C5">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对服务区内的外来施工，未建立完善的施工管理制度。发现施工方影响房屋外观、危及房屋结构安全及拆改公共管线等损害公共利益的行为未及时劝阻并报告学校主管部门的，每项扣2分。</w:t>
            </w:r>
          </w:p>
        </w:tc>
        <w:tc>
          <w:tcPr>
            <w:tcW w:w="732" w:type="dxa"/>
            <w:tcBorders>
              <w:top w:val="single" w:color="auto" w:sz="4" w:space="0"/>
              <w:left w:val="nil"/>
              <w:bottom w:val="single" w:color="auto" w:sz="4" w:space="0"/>
              <w:right w:val="single" w:color="auto" w:sz="4" w:space="0"/>
            </w:tcBorders>
            <w:vAlign w:val="center"/>
          </w:tcPr>
          <w:p w14:paraId="498F0960">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14:paraId="67D32738">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14:paraId="6A005A9F">
            <w:pPr>
              <w:widowControl/>
              <w:spacing w:line="260" w:lineRule="exact"/>
              <w:jc w:val="center"/>
              <w:rPr>
                <w:rFonts w:ascii="宋体" w:hAnsi="宋体" w:eastAsia="宋体" w:cs="宋体"/>
                <w:color w:val="000000" w:themeColor="text1"/>
                <w:kern w:val="0"/>
                <w:sz w:val="18"/>
                <w:szCs w:val="18"/>
              </w:rPr>
            </w:pPr>
          </w:p>
        </w:tc>
      </w:tr>
      <w:tr w14:paraId="1ABD3E8F">
        <w:tblPrEx>
          <w:tblCellMar>
            <w:top w:w="0" w:type="dxa"/>
            <w:left w:w="108" w:type="dxa"/>
            <w:bottom w:w="0" w:type="dxa"/>
            <w:right w:w="108" w:type="dxa"/>
          </w:tblCellMar>
        </w:tblPrEx>
        <w:trPr>
          <w:trHeight w:val="150" w:hRule="atLeast"/>
          <w:jc w:val="center"/>
        </w:trPr>
        <w:tc>
          <w:tcPr>
            <w:tcW w:w="802" w:type="dxa"/>
            <w:vMerge w:val="restart"/>
            <w:tcBorders>
              <w:top w:val="nil"/>
              <w:left w:val="single" w:color="auto" w:sz="4" w:space="0"/>
              <w:bottom w:val="single" w:color="000000" w:sz="4" w:space="0"/>
              <w:right w:val="single" w:color="auto" w:sz="4" w:space="0"/>
            </w:tcBorders>
            <w:vAlign w:val="center"/>
          </w:tcPr>
          <w:p w14:paraId="13D9172A">
            <w:pPr>
              <w:widowControl/>
              <w:spacing w:line="260" w:lineRule="exact"/>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师生投诉</w:t>
            </w:r>
          </w:p>
        </w:tc>
        <w:tc>
          <w:tcPr>
            <w:tcW w:w="6697" w:type="dxa"/>
            <w:tcBorders>
              <w:top w:val="nil"/>
              <w:left w:val="nil"/>
              <w:bottom w:val="single" w:color="auto" w:sz="4" w:space="0"/>
              <w:right w:val="single" w:color="auto" w:sz="4" w:space="0"/>
            </w:tcBorders>
            <w:vAlign w:val="center"/>
          </w:tcPr>
          <w:p w14:paraId="5ECF5CE0">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服务态度差，用语不文明、不规范，被服务对象投诉，每投诉一次扣2分。</w:t>
            </w:r>
          </w:p>
        </w:tc>
        <w:tc>
          <w:tcPr>
            <w:tcW w:w="732" w:type="dxa"/>
            <w:tcBorders>
              <w:top w:val="nil"/>
              <w:left w:val="nil"/>
              <w:bottom w:val="single" w:color="auto" w:sz="4" w:space="0"/>
              <w:right w:val="single" w:color="auto" w:sz="4" w:space="0"/>
            </w:tcBorders>
            <w:vAlign w:val="center"/>
          </w:tcPr>
          <w:p w14:paraId="45786186">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000000" w:sz="4" w:space="0"/>
              <w:right w:val="single" w:color="auto" w:sz="4" w:space="0"/>
            </w:tcBorders>
            <w:vAlign w:val="center"/>
          </w:tcPr>
          <w:p w14:paraId="1D54A6A4">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5B51D211">
            <w:pPr>
              <w:widowControl/>
              <w:spacing w:line="260" w:lineRule="exact"/>
              <w:jc w:val="center"/>
              <w:rPr>
                <w:rFonts w:ascii="宋体" w:hAnsi="宋体" w:eastAsia="宋体" w:cs="宋体"/>
                <w:color w:val="000000" w:themeColor="text1"/>
                <w:kern w:val="0"/>
                <w:sz w:val="18"/>
                <w:szCs w:val="18"/>
              </w:rPr>
            </w:pPr>
          </w:p>
        </w:tc>
      </w:tr>
      <w:tr w14:paraId="2169D32D">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000000" w:sz="4" w:space="0"/>
              <w:right w:val="single" w:color="auto" w:sz="4" w:space="0"/>
            </w:tcBorders>
            <w:vAlign w:val="center"/>
          </w:tcPr>
          <w:p w14:paraId="5AC4D59A">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6874768B">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会务保障不及时、不到位，服务质量差，受到投诉，每次扣2分。</w:t>
            </w:r>
          </w:p>
        </w:tc>
        <w:tc>
          <w:tcPr>
            <w:tcW w:w="732" w:type="dxa"/>
            <w:tcBorders>
              <w:top w:val="nil"/>
              <w:left w:val="nil"/>
              <w:bottom w:val="single" w:color="auto" w:sz="4" w:space="0"/>
              <w:right w:val="single" w:color="auto" w:sz="4" w:space="0"/>
            </w:tcBorders>
            <w:vAlign w:val="center"/>
          </w:tcPr>
          <w:p w14:paraId="6D3CC2BD">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14:paraId="68D71C2E">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2A4DF4C7">
            <w:pPr>
              <w:widowControl/>
              <w:spacing w:line="260" w:lineRule="exact"/>
              <w:jc w:val="center"/>
              <w:rPr>
                <w:rFonts w:ascii="宋体" w:hAnsi="宋体" w:eastAsia="宋体" w:cs="宋体"/>
                <w:color w:val="000000" w:themeColor="text1"/>
                <w:kern w:val="0"/>
                <w:sz w:val="18"/>
                <w:szCs w:val="18"/>
              </w:rPr>
            </w:pPr>
          </w:p>
        </w:tc>
      </w:tr>
      <w:tr w14:paraId="27CD19DC">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000000" w:sz="4" w:space="0"/>
              <w:right w:val="single" w:color="auto" w:sz="4" w:space="0"/>
            </w:tcBorders>
            <w:vAlign w:val="center"/>
          </w:tcPr>
          <w:p w14:paraId="1FF37DB9">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2C713A23">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师生其他投诉（含网上曝光），经双方现场核查，投诉属实的一次扣2分。</w:t>
            </w:r>
          </w:p>
        </w:tc>
        <w:tc>
          <w:tcPr>
            <w:tcW w:w="732" w:type="dxa"/>
            <w:tcBorders>
              <w:top w:val="nil"/>
              <w:left w:val="nil"/>
              <w:bottom w:val="single" w:color="auto" w:sz="4" w:space="0"/>
              <w:right w:val="single" w:color="auto" w:sz="4" w:space="0"/>
            </w:tcBorders>
            <w:vAlign w:val="center"/>
          </w:tcPr>
          <w:p w14:paraId="3850254F">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14:paraId="67ADD755">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56CE5129">
            <w:pPr>
              <w:widowControl/>
              <w:spacing w:line="260" w:lineRule="exact"/>
              <w:jc w:val="center"/>
              <w:rPr>
                <w:rFonts w:ascii="宋体" w:hAnsi="宋体" w:eastAsia="宋体" w:cs="宋体"/>
                <w:color w:val="000000" w:themeColor="text1"/>
                <w:kern w:val="0"/>
                <w:sz w:val="18"/>
                <w:szCs w:val="18"/>
              </w:rPr>
            </w:pPr>
          </w:p>
        </w:tc>
      </w:tr>
      <w:tr w14:paraId="58CFE6B3">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single" w:color="auto" w:sz="4" w:space="0"/>
              <w:right w:val="single" w:color="auto" w:sz="4" w:space="0"/>
            </w:tcBorders>
            <w:vAlign w:val="center"/>
          </w:tcPr>
          <w:p w14:paraId="44CA1E5E">
            <w:pPr>
              <w:widowControl/>
              <w:spacing w:line="260" w:lineRule="exact"/>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加分项</w:t>
            </w:r>
          </w:p>
        </w:tc>
        <w:tc>
          <w:tcPr>
            <w:tcW w:w="6697" w:type="dxa"/>
            <w:tcBorders>
              <w:top w:val="nil"/>
              <w:left w:val="nil"/>
              <w:bottom w:val="single" w:color="auto" w:sz="4" w:space="0"/>
              <w:right w:val="single" w:color="auto" w:sz="4" w:space="0"/>
            </w:tcBorders>
            <w:vAlign w:val="center"/>
          </w:tcPr>
          <w:p w14:paraId="2D39D8BF">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出色完成重大项活动、或迎检工作的后勤服务保障任务，受到校领导或其他领导表扬，每次加2分。</w:t>
            </w:r>
          </w:p>
        </w:tc>
        <w:tc>
          <w:tcPr>
            <w:tcW w:w="732" w:type="dxa"/>
            <w:tcBorders>
              <w:top w:val="nil"/>
              <w:left w:val="nil"/>
              <w:bottom w:val="single" w:color="auto" w:sz="4" w:space="0"/>
              <w:right w:val="single" w:color="auto" w:sz="4" w:space="0"/>
            </w:tcBorders>
            <w:vAlign w:val="center"/>
          </w:tcPr>
          <w:p w14:paraId="4BA8AA15">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000000" w:sz="4" w:space="0"/>
              <w:right w:val="single" w:color="auto" w:sz="4" w:space="0"/>
            </w:tcBorders>
            <w:vAlign w:val="center"/>
          </w:tcPr>
          <w:p w14:paraId="4E241A53">
            <w:pPr>
              <w:widowControl/>
              <w:spacing w:line="260" w:lineRule="exact"/>
              <w:jc w:val="center"/>
              <w:rPr>
                <w:rFonts w:ascii="宋体" w:hAnsi="宋体" w:eastAsia="宋体" w:cs="宋体"/>
                <w:color w:val="000000" w:themeColor="text1"/>
                <w:kern w:val="0"/>
                <w:sz w:val="18"/>
                <w:szCs w:val="18"/>
              </w:rPr>
            </w:pPr>
          </w:p>
        </w:tc>
        <w:tc>
          <w:tcPr>
            <w:tcW w:w="686" w:type="dxa"/>
            <w:vMerge w:val="restart"/>
            <w:tcBorders>
              <w:top w:val="nil"/>
              <w:left w:val="nil"/>
              <w:bottom w:val="nil"/>
              <w:right w:val="single" w:color="auto" w:sz="4" w:space="0"/>
            </w:tcBorders>
            <w:vAlign w:val="center"/>
          </w:tcPr>
          <w:p w14:paraId="7E7BDEA6">
            <w:pPr>
              <w:widowControl/>
              <w:spacing w:line="260" w:lineRule="exact"/>
              <w:jc w:val="center"/>
              <w:rPr>
                <w:rFonts w:ascii="宋体" w:hAnsi="宋体" w:eastAsia="宋体" w:cs="宋体"/>
                <w:color w:val="000000" w:themeColor="text1"/>
                <w:kern w:val="0"/>
                <w:sz w:val="18"/>
                <w:szCs w:val="18"/>
              </w:rPr>
            </w:pPr>
            <w:r>
              <w:rPr>
                <w:rFonts w:hint="eastAsia" w:ascii="宋体" w:hAnsi="宋体"/>
                <w:color w:val="000000" w:themeColor="text1"/>
                <w:kern w:val="0"/>
                <w:sz w:val="15"/>
                <w:szCs w:val="15"/>
              </w:rPr>
              <w:t>(此项最多10分）</w:t>
            </w:r>
          </w:p>
        </w:tc>
      </w:tr>
      <w:tr w14:paraId="32ADDA74">
        <w:tblPrEx>
          <w:tblCellMar>
            <w:top w:w="0" w:type="dxa"/>
            <w:left w:w="108" w:type="dxa"/>
            <w:bottom w:w="0" w:type="dxa"/>
            <w:right w:w="108" w:type="dxa"/>
          </w:tblCellMar>
        </w:tblPrEx>
        <w:trPr>
          <w:trHeight w:val="158"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0801B5A5">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242D4882">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突发意外事故时，中标方果断正确处置，为采购方避免或显著减少事故损失和影响，每次加5分。</w:t>
            </w:r>
          </w:p>
        </w:tc>
        <w:tc>
          <w:tcPr>
            <w:tcW w:w="732" w:type="dxa"/>
            <w:tcBorders>
              <w:top w:val="nil"/>
              <w:left w:val="nil"/>
              <w:bottom w:val="single" w:color="auto" w:sz="4" w:space="0"/>
              <w:right w:val="single" w:color="auto" w:sz="4" w:space="0"/>
            </w:tcBorders>
            <w:vAlign w:val="center"/>
          </w:tcPr>
          <w:p w14:paraId="3C8026B5">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14:paraId="6260B161">
            <w:pPr>
              <w:widowControl/>
              <w:jc w:val="left"/>
              <w:rPr>
                <w:rFonts w:ascii="宋体" w:hAnsi="宋体" w:eastAsia="宋体" w:cs="宋体"/>
                <w:color w:val="000000" w:themeColor="text1"/>
                <w:kern w:val="0"/>
                <w:sz w:val="18"/>
                <w:szCs w:val="18"/>
              </w:rPr>
            </w:pPr>
          </w:p>
        </w:tc>
        <w:tc>
          <w:tcPr>
            <w:tcW w:w="686" w:type="dxa"/>
            <w:vMerge w:val="continue"/>
            <w:tcBorders>
              <w:top w:val="nil"/>
              <w:left w:val="nil"/>
              <w:bottom w:val="nil"/>
              <w:right w:val="single" w:color="auto" w:sz="4" w:space="0"/>
            </w:tcBorders>
            <w:vAlign w:val="center"/>
          </w:tcPr>
          <w:p w14:paraId="74EC0442">
            <w:pPr>
              <w:widowControl/>
              <w:jc w:val="left"/>
              <w:rPr>
                <w:rFonts w:ascii="宋体" w:hAnsi="宋体" w:eastAsia="宋体" w:cs="宋体"/>
                <w:color w:val="000000" w:themeColor="text1"/>
                <w:kern w:val="0"/>
                <w:sz w:val="18"/>
                <w:szCs w:val="18"/>
              </w:rPr>
            </w:pPr>
          </w:p>
        </w:tc>
      </w:tr>
      <w:tr w14:paraId="17F4510B">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14:paraId="73F15EFC">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14:paraId="565B7151">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中标方员工有好人好事行为，每次加1分。</w:t>
            </w:r>
          </w:p>
        </w:tc>
        <w:tc>
          <w:tcPr>
            <w:tcW w:w="732" w:type="dxa"/>
            <w:tcBorders>
              <w:top w:val="nil"/>
              <w:left w:val="nil"/>
              <w:bottom w:val="single" w:color="auto" w:sz="4" w:space="0"/>
              <w:right w:val="single" w:color="auto" w:sz="4" w:space="0"/>
            </w:tcBorders>
            <w:vAlign w:val="center"/>
          </w:tcPr>
          <w:p w14:paraId="29900B92">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14:paraId="1C83349C">
            <w:pPr>
              <w:widowControl/>
              <w:jc w:val="left"/>
              <w:rPr>
                <w:rFonts w:ascii="宋体" w:hAnsi="宋体" w:eastAsia="宋体" w:cs="宋体"/>
                <w:color w:val="000000" w:themeColor="text1"/>
                <w:kern w:val="0"/>
                <w:sz w:val="18"/>
                <w:szCs w:val="18"/>
              </w:rPr>
            </w:pPr>
          </w:p>
        </w:tc>
        <w:tc>
          <w:tcPr>
            <w:tcW w:w="686" w:type="dxa"/>
            <w:vMerge w:val="continue"/>
            <w:tcBorders>
              <w:top w:val="nil"/>
              <w:left w:val="nil"/>
              <w:bottom w:val="nil"/>
              <w:right w:val="single" w:color="auto" w:sz="4" w:space="0"/>
            </w:tcBorders>
            <w:vAlign w:val="center"/>
          </w:tcPr>
          <w:p w14:paraId="4DAD73F7">
            <w:pPr>
              <w:widowControl/>
              <w:jc w:val="left"/>
              <w:rPr>
                <w:rFonts w:ascii="宋体" w:hAnsi="宋体" w:eastAsia="宋体" w:cs="宋体"/>
                <w:color w:val="000000" w:themeColor="text1"/>
                <w:kern w:val="0"/>
                <w:sz w:val="18"/>
                <w:szCs w:val="18"/>
              </w:rPr>
            </w:pPr>
          </w:p>
        </w:tc>
      </w:tr>
      <w:tr w14:paraId="79C4E128">
        <w:tblPrEx>
          <w:tblCellMar>
            <w:top w:w="0" w:type="dxa"/>
            <w:left w:w="108" w:type="dxa"/>
            <w:bottom w:w="0" w:type="dxa"/>
            <w:right w:w="108" w:type="dxa"/>
          </w:tblCellMar>
        </w:tblPrEx>
        <w:trPr>
          <w:trHeight w:val="482" w:hRule="atLeast"/>
          <w:jc w:val="center"/>
        </w:trPr>
        <w:tc>
          <w:tcPr>
            <w:tcW w:w="8231" w:type="dxa"/>
            <w:gridSpan w:val="3"/>
            <w:tcBorders>
              <w:top w:val="single" w:color="auto" w:sz="4" w:space="0"/>
              <w:left w:val="single" w:color="auto" w:sz="4" w:space="0"/>
              <w:bottom w:val="single" w:color="auto" w:sz="4" w:space="0"/>
              <w:right w:val="single" w:color="000000" w:sz="4" w:space="0"/>
            </w:tcBorders>
            <w:vAlign w:val="center"/>
          </w:tcPr>
          <w:p w14:paraId="0293A126">
            <w:pPr>
              <w:widowControl/>
              <w:wordWrap w:val="0"/>
              <w:jc w:val="right"/>
              <w:rPr>
                <w:rFonts w:ascii="宋体" w:hAnsi="宋体" w:eastAsia="宋体" w:cs="宋体"/>
                <w:b/>
                <w:color w:val="000000" w:themeColor="text1"/>
                <w:kern w:val="0"/>
                <w:sz w:val="18"/>
                <w:szCs w:val="18"/>
              </w:rPr>
            </w:pPr>
            <w:r>
              <w:rPr>
                <w:rFonts w:hint="eastAsia" w:ascii="宋体" w:hAnsi="宋体"/>
                <w:b/>
                <w:color w:val="000000" w:themeColor="text1"/>
                <w:kern w:val="0"/>
                <w:sz w:val="18"/>
                <w:szCs w:val="18"/>
              </w:rPr>
              <w:t xml:space="preserve">合计得分   </w:t>
            </w:r>
          </w:p>
        </w:tc>
        <w:tc>
          <w:tcPr>
            <w:tcW w:w="709" w:type="dxa"/>
            <w:tcBorders>
              <w:top w:val="nil"/>
              <w:left w:val="nil"/>
              <w:bottom w:val="single" w:color="auto" w:sz="4" w:space="0"/>
              <w:right w:val="single" w:color="auto" w:sz="4" w:space="0"/>
            </w:tcBorders>
            <w:vAlign w:val="center"/>
          </w:tcPr>
          <w:p w14:paraId="0428B2E0">
            <w:pPr>
              <w:widowControl/>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14:paraId="421A00B9">
            <w:pPr>
              <w:widowControl/>
              <w:jc w:val="center"/>
              <w:rPr>
                <w:rFonts w:ascii="宋体" w:hAnsi="宋体" w:eastAsia="宋体" w:cs="宋体"/>
                <w:color w:val="000000" w:themeColor="text1"/>
                <w:kern w:val="0"/>
                <w:sz w:val="18"/>
                <w:szCs w:val="18"/>
              </w:rPr>
            </w:pPr>
          </w:p>
        </w:tc>
      </w:tr>
    </w:tbl>
    <w:p w14:paraId="027CEF23">
      <w:pPr>
        <w:ind w:firstLine="270" w:firstLineChars="150"/>
        <w:rPr>
          <w:rFonts w:ascii="Calibri" w:hAnsi="Calibri"/>
          <w:color w:val="000000" w:themeColor="text1"/>
          <w:szCs w:val="21"/>
        </w:rPr>
      </w:pPr>
      <w:r>
        <w:rPr>
          <w:rFonts w:hint="eastAsia" w:ascii="宋体" w:hAnsi="宋体"/>
          <w:bCs/>
          <w:color w:val="000000" w:themeColor="text1"/>
          <w:sz w:val="18"/>
          <w:szCs w:val="18"/>
        </w:rPr>
        <w:t>备注：合计得分=100分-扣分小计+加分小计。</w:t>
      </w:r>
    </w:p>
    <w:p w14:paraId="21189527">
      <w:pPr>
        <w:pStyle w:val="5"/>
        <w:spacing w:before="0" w:after="0" w:line="460" w:lineRule="exact"/>
        <w:ind w:firstLine="482" w:firstLineChars="200"/>
        <w:rPr>
          <w:color w:val="000000" w:themeColor="text1"/>
          <w:sz w:val="24"/>
          <w:szCs w:val="24"/>
        </w:rPr>
      </w:pPr>
      <w:r>
        <w:rPr>
          <w:color w:val="000000" w:themeColor="text1"/>
          <w:sz w:val="24"/>
          <w:szCs w:val="24"/>
        </w:rPr>
        <w:t>3.10.3考核结果运用</w:t>
      </w:r>
    </w:p>
    <w:p w14:paraId="22D6B433">
      <w:pPr>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sz w:val="24"/>
          <w:szCs w:val="24"/>
        </w:rPr>
        <w:t>（1）月度考评分数为85分及以上</w:t>
      </w:r>
      <w:r>
        <w:rPr>
          <w:rFonts w:hint="eastAsia" w:ascii="宋体" w:hAnsi="宋体"/>
          <w:color w:val="000000" w:themeColor="text1"/>
          <w:kern w:val="0"/>
          <w:sz w:val="24"/>
          <w:szCs w:val="24"/>
        </w:rPr>
        <w:t>视为合格</w:t>
      </w:r>
      <w:r>
        <w:rPr>
          <w:rFonts w:hint="eastAsia" w:ascii="宋体" w:hAnsi="宋体"/>
          <w:color w:val="000000" w:themeColor="text1"/>
          <w:sz w:val="24"/>
          <w:szCs w:val="24"/>
        </w:rPr>
        <w:t>；</w:t>
      </w:r>
      <w:r>
        <w:rPr>
          <w:rFonts w:hint="eastAsia" w:ascii="宋体" w:hAnsi="宋体"/>
          <w:color w:val="000000" w:themeColor="text1"/>
          <w:kern w:val="0"/>
          <w:sz w:val="24"/>
          <w:szCs w:val="24"/>
        </w:rPr>
        <w:t>成绩在85分以下视为不合格，</w:t>
      </w:r>
      <w:r>
        <w:rPr>
          <w:rFonts w:hint="eastAsia" w:ascii="宋体" w:hAnsi="宋体"/>
          <w:color w:val="000000" w:themeColor="text1"/>
          <w:sz w:val="24"/>
          <w:szCs w:val="24"/>
        </w:rPr>
        <w:t>中标方应向学校交纳相应数额的违约金。</w:t>
      </w:r>
      <w:r>
        <w:rPr>
          <w:rFonts w:hint="eastAsia" w:ascii="宋体" w:hAnsi="宋体"/>
          <w:color w:val="000000" w:themeColor="text1"/>
          <w:kern w:val="0"/>
          <w:sz w:val="24"/>
          <w:szCs w:val="24"/>
        </w:rPr>
        <w:t>其中得分80—85分，每分对应交纳</w:t>
      </w:r>
      <w:r>
        <w:rPr>
          <w:rFonts w:hint="eastAsia" w:ascii="宋体" w:hAnsi="宋体"/>
          <w:color w:val="000000" w:themeColor="text1"/>
          <w:sz w:val="24"/>
          <w:szCs w:val="24"/>
        </w:rPr>
        <w:t>违约金</w:t>
      </w:r>
      <w:r>
        <w:rPr>
          <w:rFonts w:hint="eastAsia" w:ascii="宋体" w:hAnsi="宋体"/>
          <w:color w:val="000000" w:themeColor="text1"/>
          <w:kern w:val="0"/>
          <w:sz w:val="24"/>
          <w:szCs w:val="24"/>
        </w:rPr>
        <w:t>1000元；70—79分，每分对应交纳</w:t>
      </w:r>
      <w:r>
        <w:rPr>
          <w:rFonts w:hint="eastAsia" w:ascii="宋体" w:hAnsi="宋体"/>
          <w:color w:val="000000" w:themeColor="text1"/>
          <w:sz w:val="24"/>
          <w:szCs w:val="24"/>
        </w:rPr>
        <w:t>违约金</w:t>
      </w:r>
      <w:r>
        <w:rPr>
          <w:rFonts w:hint="eastAsia" w:ascii="宋体" w:hAnsi="宋体"/>
          <w:color w:val="000000" w:themeColor="text1"/>
          <w:kern w:val="0"/>
          <w:sz w:val="24"/>
          <w:szCs w:val="24"/>
        </w:rPr>
        <w:t>2000元；60-69分以下，每分对应交纳</w:t>
      </w:r>
      <w:r>
        <w:rPr>
          <w:rFonts w:hint="eastAsia" w:ascii="宋体" w:hAnsi="宋体"/>
          <w:color w:val="000000" w:themeColor="text1"/>
          <w:sz w:val="24"/>
          <w:szCs w:val="24"/>
        </w:rPr>
        <w:t>违约金</w:t>
      </w:r>
      <w:r>
        <w:rPr>
          <w:rFonts w:hint="eastAsia" w:ascii="宋体" w:hAnsi="宋体"/>
          <w:color w:val="000000" w:themeColor="text1"/>
          <w:kern w:val="0"/>
          <w:sz w:val="24"/>
          <w:szCs w:val="24"/>
        </w:rPr>
        <w:t>3000元；缴纳违约金后，学校按合同</w:t>
      </w:r>
      <w:r>
        <w:rPr>
          <w:rFonts w:hint="eastAsia" w:ascii="宋体" w:hAnsi="宋体"/>
          <w:color w:val="000000" w:themeColor="text1"/>
          <w:sz w:val="24"/>
          <w:szCs w:val="24"/>
        </w:rPr>
        <w:t>拨付月度物管费。</w:t>
      </w:r>
      <w:r>
        <w:rPr>
          <w:rFonts w:hint="eastAsia" w:ascii="宋体" w:hAnsi="宋体"/>
          <w:color w:val="000000" w:themeColor="text1"/>
          <w:kern w:val="0"/>
          <w:sz w:val="24"/>
          <w:szCs w:val="24"/>
        </w:rPr>
        <w:t>60分以下，视为中标方违约，</w:t>
      </w:r>
      <w:r>
        <w:rPr>
          <w:rFonts w:hint="eastAsia" w:ascii="宋体" w:hAnsi="宋体"/>
          <w:color w:val="000000" w:themeColor="text1"/>
          <w:sz w:val="24"/>
          <w:szCs w:val="24"/>
        </w:rPr>
        <w:t>需向采购人一次性赔付违约金50000元（伍万元整），同时合同解除</w:t>
      </w:r>
      <w:r>
        <w:rPr>
          <w:rFonts w:hint="eastAsia" w:ascii="宋体" w:hAnsi="宋体"/>
          <w:color w:val="000000" w:themeColor="text1"/>
          <w:kern w:val="0"/>
          <w:sz w:val="24"/>
          <w:szCs w:val="24"/>
        </w:rPr>
        <w:t>。</w:t>
      </w:r>
    </w:p>
    <w:p w14:paraId="5B6D43A8">
      <w:pPr>
        <w:spacing w:line="460" w:lineRule="exact"/>
        <w:ind w:firstLine="420" w:firstLineChars="200"/>
        <w:jc w:val="left"/>
        <w:rPr>
          <w:rFonts w:ascii="宋体" w:hAnsi="宋体"/>
          <w:color w:val="000000" w:themeColor="text1"/>
          <w:sz w:val="24"/>
          <w:szCs w:val="24"/>
        </w:rPr>
      </w:pPr>
      <w:r>
        <w:rPr>
          <w:rFonts w:hint="eastAsia" w:ascii="宋体" w:hAnsi="宋体"/>
          <w:color w:val="000000" w:themeColor="text1"/>
        </w:rPr>
        <w:t>★</w:t>
      </w:r>
      <w:r>
        <w:rPr>
          <w:rFonts w:hint="eastAsia" w:ascii="宋体" w:hAnsi="宋体"/>
          <w:color w:val="000000" w:themeColor="text1"/>
          <w:sz w:val="24"/>
          <w:szCs w:val="24"/>
        </w:rPr>
        <w:t>（2）投标人需承诺，如果中标凡一年内三次月度考评分数未达到80分，或者年度考核分数未达到80分，或者由于其他情况不合格的及拒不向学校交纳违约金的，学校有权单方面终止合同，取消其物业管理服务资格并向物业公司追究相关责任、要求赔偿相关损失。</w:t>
      </w:r>
    </w:p>
    <w:p w14:paraId="68BDC4A5">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其他情况不合格指出现下列情况之一的：①校园环卫、绿化和大楼管理服务工作中出现重大责任事故，严重影响学校正常教学科研工作秩序的；</w:t>
      </w:r>
      <w:r>
        <w:rPr>
          <w:rFonts w:hint="eastAsia" w:ascii="宋体" w:hAnsi="宋体"/>
          <w:color w:val="000000" w:themeColor="text1"/>
          <w:kern w:val="0"/>
          <w:sz w:val="24"/>
          <w:szCs w:val="24"/>
        </w:rPr>
        <w:t>②</w:t>
      </w:r>
      <w:r>
        <w:rPr>
          <w:rFonts w:hint="eastAsia" w:ascii="宋体" w:hAnsi="宋体"/>
          <w:color w:val="000000" w:themeColor="text1"/>
          <w:sz w:val="24"/>
          <w:szCs w:val="24"/>
        </w:rPr>
        <w:t>因管理责任造成国有资产巨额损失、人员伤亡等重、特大安全责任事故的；</w:t>
      </w:r>
      <w:r>
        <w:rPr>
          <w:rFonts w:hint="eastAsia" w:ascii="宋体" w:hAnsi="宋体"/>
          <w:color w:val="000000" w:themeColor="text1"/>
          <w:kern w:val="0"/>
          <w:sz w:val="24"/>
          <w:szCs w:val="24"/>
        </w:rPr>
        <w:t>③</w:t>
      </w:r>
      <w:r>
        <w:rPr>
          <w:rFonts w:hint="eastAsia" w:ascii="宋体" w:hAnsi="宋体"/>
          <w:color w:val="000000" w:themeColor="text1"/>
          <w:sz w:val="24"/>
          <w:szCs w:val="24"/>
        </w:rPr>
        <w:t>因管理责任导致出现群体性公共安全事件的，严重影响学校声誉的或造成学校损失的；</w:t>
      </w:r>
      <w:r>
        <w:rPr>
          <w:rFonts w:hint="eastAsia" w:ascii="宋体" w:hAnsi="宋体"/>
          <w:color w:val="000000" w:themeColor="text1"/>
          <w:kern w:val="0"/>
          <w:sz w:val="24"/>
          <w:szCs w:val="24"/>
        </w:rPr>
        <w:t>④</w:t>
      </w:r>
      <w:r>
        <w:rPr>
          <w:rFonts w:hint="eastAsia" w:ascii="宋体" w:hAnsi="宋体"/>
          <w:color w:val="000000" w:themeColor="text1"/>
          <w:sz w:val="24"/>
          <w:szCs w:val="24"/>
        </w:rPr>
        <w:t>其他经过学校或政府部门认定的责任事故；⑤工作中发生重、特大责任事故，经有关部门认定，视情况追究相关人员的刑事及民事责任。</w:t>
      </w:r>
    </w:p>
    <w:p w14:paraId="072E850A">
      <w:pPr>
        <w:spacing w:line="460" w:lineRule="exact"/>
        <w:ind w:firstLine="480" w:firstLineChars="200"/>
        <w:jc w:val="left"/>
        <w:rPr>
          <w:rFonts w:ascii="宋体" w:hAnsi="宋体" w:eastAsia="微软雅黑"/>
          <w:color w:val="000000" w:themeColor="text1"/>
          <w:sz w:val="24"/>
          <w:szCs w:val="24"/>
        </w:rPr>
      </w:pPr>
      <w:r>
        <w:rPr>
          <w:rFonts w:hint="eastAsia" w:ascii="宋体" w:hAnsi="宋体"/>
          <w:color w:val="000000" w:themeColor="text1"/>
          <w:sz w:val="24"/>
          <w:szCs w:val="24"/>
        </w:rPr>
        <w:t>(3)月度考评分数未达到85分（不合格）,中标方未按时向学校交纳违约金</w:t>
      </w:r>
      <w:r>
        <w:rPr>
          <w:rFonts w:hint="eastAsia" w:ascii="宋体" w:hAnsi="宋体" w:eastAsia="宋体" w:cs="宋体"/>
          <w:color w:val="000000" w:themeColor="text1"/>
          <w:sz w:val="24"/>
          <w:szCs w:val="24"/>
        </w:rPr>
        <w:t>的，学校有权从履约保证金中直接扣除违约金。</w:t>
      </w:r>
    </w:p>
    <w:p w14:paraId="715FC24F">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（4）年度考评分数在80分及以上，达到合同规定的服务目标和要求，经双方协商后续签合同。</w:t>
      </w:r>
    </w:p>
    <w:p w14:paraId="2E9400B6">
      <w:pPr>
        <w:pStyle w:val="2"/>
        <w:rPr>
          <w:color w:val="000000" w:themeColor="text1"/>
        </w:rPr>
      </w:pPr>
      <w:r>
        <w:rPr>
          <w:rFonts w:hint="eastAsia"/>
          <w:color w:val="000000" w:themeColor="text1"/>
        </w:rPr>
        <w:t xml:space="preserve">     </w:t>
      </w:r>
      <w:r>
        <w:rPr>
          <w:rFonts w:hint="eastAsia" w:ascii="宋体" w:hAnsi="宋体"/>
          <w:b/>
          <w:color w:val="000000" w:themeColor="text1"/>
          <w:sz w:val="24"/>
          <w:szCs w:val="24"/>
        </w:rPr>
        <w:t>4 报价及要求</w:t>
      </w:r>
    </w:p>
    <w:p w14:paraId="79B10851">
      <w:pPr>
        <w:spacing w:line="360" w:lineRule="auto"/>
        <w:ind w:firstLine="495"/>
        <w:rPr>
          <w:rFonts w:ascii="宋体"/>
          <w:bCs/>
          <w:color w:val="000000" w:themeColor="text1"/>
          <w:sz w:val="24"/>
        </w:rPr>
      </w:pPr>
      <w:r>
        <w:rPr>
          <w:rFonts w:hint="eastAsia" w:ascii="宋体" w:hAnsi="宋体" w:eastAsia="宋体" w:cs="宋体"/>
          <w:bCs/>
          <w:color w:val="000000" w:themeColor="text1"/>
          <w:kern w:val="0"/>
          <w:sz w:val="24"/>
          <w:szCs w:val="24"/>
        </w:rPr>
        <w:t>★</w:t>
      </w:r>
      <w:r>
        <w:rPr>
          <w:rFonts w:hint="eastAsia" w:ascii="宋体" w:hAnsi="宋体"/>
          <w:b/>
          <w:color w:val="000000" w:themeColor="text1"/>
          <w:sz w:val="24"/>
          <w:szCs w:val="24"/>
        </w:rPr>
        <w:t>4.1</w:t>
      </w:r>
      <w:r>
        <w:rPr>
          <w:rFonts w:hint="eastAsia" w:ascii="宋体"/>
          <w:bCs/>
          <w:color w:val="000000" w:themeColor="text1"/>
          <w:sz w:val="24"/>
        </w:rPr>
        <w:t>报价</w:t>
      </w:r>
      <w:r>
        <w:rPr>
          <w:rFonts w:ascii="宋体"/>
          <w:bCs/>
          <w:color w:val="000000" w:themeColor="text1"/>
          <w:sz w:val="24"/>
        </w:rPr>
        <w:t>超过控制价，报价无效。</w:t>
      </w:r>
    </w:p>
    <w:p w14:paraId="4C829B74">
      <w:pPr>
        <w:spacing w:line="360" w:lineRule="auto"/>
        <w:ind w:firstLine="495"/>
        <w:rPr>
          <w:rFonts w:ascii="宋体" w:hAnsi="宋体"/>
          <w:b/>
          <w:color w:val="000000" w:themeColor="text1"/>
          <w:sz w:val="24"/>
          <w:szCs w:val="24"/>
        </w:rPr>
      </w:pPr>
      <w:bookmarkStart w:id="12" w:name="_Hlk101826969"/>
      <w:r>
        <w:rPr>
          <w:rFonts w:hint="eastAsia" w:ascii="宋体" w:hAnsi="宋体" w:eastAsia="宋体" w:cs="宋体"/>
          <w:bCs/>
          <w:color w:val="000000" w:themeColor="text1"/>
          <w:kern w:val="0"/>
          <w:sz w:val="24"/>
          <w:szCs w:val="24"/>
        </w:rPr>
        <w:t>★</w:t>
      </w:r>
      <w:r>
        <w:rPr>
          <w:rFonts w:hint="eastAsia" w:ascii="宋体" w:hAnsi="宋体"/>
          <w:b/>
          <w:color w:val="000000" w:themeColor="text1"/>
          <w:sz w:val="24"/>
          <w:szCs w:val="24"/>
        </w:rPr>
        <w:t>4.2</w:t>
      </w:r>
      <w:r>
        <w:rPr>
          <w:rFonts w:hint="eastAsia" w:ascii="宋体"/>
          <w:bCs/>
          <w:color w:val="000000" w:themeColor="text1"/>
          <w:sz w:val="24"/>
        </w:rPr>
        <w:t>需</w:t>
      </w:r>
      <w:r>
        <w:rPr>
          <w:rFonts w:ascii="宋体"/>
          <w:bCs/>
          <w:color w:val="000000" w:themeColor="text1"/>
          <w:sz w:val="24"/>
        </w:rPr>
        <w:t>进行明细报价，报价包含但不限于以下明细</w:t>
      </w:r>
      <w:r>
        <w:rPr>
          <w:rFonts w:hint="eastAsia" w:ascii="宋体"/>
          <w:bCs/>
          <w:color w:val="000000" w:themeColor="text1"/>
          <w:sz w:val="24"/>
        </w:rPr>
        <w:t>：</w:t>
      </w:r>
      <w:r>
        <w:rPr>
          <w:rFonts w:ascii="宋体"/>
          <w:bCs/>
          <w:color w:val="000000" w:themeColor="text1"/>
          <w:sz w:val="24"/>
        </w:rPr>
        <w:t>工资、社保、残疾人基金、教育基金、住房公积金、法定假日加班费、节日福利</w:t>
      </w:r>
      <w:r>
        <w:rPr>
          <w:rFonts w:hint="eastAsia" w:ascii="宋体"/>
          <w:bCs/>
          <w:color w:val="000000" w:themeColor="text1"/>
          <w:sz w:val="24"/>
        </w:rPr>
        <w:t>及</w:t>
      </w:r>
      <w:r>
        <w:rPr>
          <w:rFonts w:ascii="宋体"/>
          <w:bCs/>
          <w:color w:val="000000" w:themeColor="text1"/>
          <w:sz w:val="24"/>
        </w:rPr>
        <w:t>年终奖、服装费、</w:t>
      </w:r>
      <w:r>
        <w:rPr>
          <w:rFonts w:hint="eastAsia" w:ascii="宋体"/>
          <w:bCs/>
          <w:color w:val="000000" w:themeColor="text1"/>
          <w:sz w:val="24"/>
        </w:rPr>
        <w:t>保洁</w:t>
      </w:r>
      <w:r>
        <w:rPr>
          <w:rFonts w:ascii="宋体"/>
          <w:bCs/>
          <w:color w:val="000000" w:themeColor="text1"/>
          <w:sz w:val="24"/>
        </w:rPr>
        <w:t>绿化</w:t>
      </w:r>
      <w:r>
        <w:rPr>
          <w:rFonts w:hint="eastAsia" w:ascii="宋体"/>
          <w:bCs/>
          <w:color w:val="000000" w:themeColor="text1"/>
          <w:sz w:val="24"/>
        </w:rPr>
        <w:t>设备及</w:t>
      </w:r>
      <w:r>
        <w:rPr>
          <w:rFonts w:ascii="宋体"/>
          <w:bCs/>
          <w:color w:val="000000" w:themeColor="text1"/>
          <w:sz w:val="24"/>
        </w:rPr>
        <w:t>用品、</w:t>
      </w:r>
      <w:r>
        <w:rPr>
          <w:rFonts w:hint="eastAsia" w:ascii="宋体"/>
          <w:bCs/>
          <w:color w:val="000000" w:themeColor="text1"/>
          <w:sz w:val="24"/>
        </w:rPr>
        <w:t>绿植租摆费、</w:t>
      </w:r>
      <w:r>
        <w:rPr>
          <w:rFonts w:hint="eastAsia" w:ascii="宋体" w:hAnsi="宋体"/>
          <w:color w:val="000000" w:themeColor="text1"/>
          <w:sz w:val="24"/>
          <w:szCs w:val="24"/>
        </w:rPr>
        <w:t>维修费、</w:t>
      </w:r>
      <w:r>
        <w:rPr>
          <w:rFonts w:ascii="宋体"/>
          <w:bCs/>
          <w:color w:val="000000" w:themeColor="text1"/>
          <w:sz w:val="24"/>
        </w:rPr>
        <w:t>办公会务耗材、企业管理费、利润、税金等</w:t>
      </w:r>
      <w:r>
        <w:rPr>
          <w:rFonts w:hint="eastAsia" w:ascii="宋体"/>
          <w:bCs/>
          <w:color w:val="000000" w:themeColor="text1"/>
          <w:sz w:val="24"/>
        </w:rPr>
        <w:t>费用</w:t>
      </w:r>
      <w:r>
        <w:rPr>
          <w:rFonts w:ascii="宋体"/>
          <w:bCs/>
          <w:color w:val="000000" w:themeColor="text1"/>
          <w:sz w:val="24"/>
        </w:rPr>
        <w:t>。</w:t>
      </w:r>
      <w:r>
        <w:rPr>
          <w:rFonts w:hint="eastAsia" w:ascii="宋体"/>
          <w:bCs/>
          <w:color w:val="000000" w:themeColor="text1"/>
          <w:sz w:val="24"/>
        </w:rPr>
        <w:t>（投标</w:t>
      </w:r>
      <w:r>
        <w:rPr>
          <w:rFonts w:ascii="宋体"/>
          <w:bCs/>
          <w:color w:val="000000" w:themeColor="text1"/>
          <w:sz w:val="24"/>
        </w:rPr>
        <w:t>人明细报价与投标总价一致</w:t>
      </w:r>
      <w:r>
        <w:rPr>
          <w:rFonts w:hint="eastAsia" w:ascii="宋体"/>
          <w:bCs/>
          <w:color w:val="000000" w:themeColor="text1"/>
          <w:sz w:val="24"/>
        </w:rPr>
        <w:t>）。</w:t>
      </w:r>
    </w:p>
    <w:p w14:paraId="6C993555">
      <w:pPr>
        <w:pStyle w:val="2"/>
        <w:spacing w:line="360" w:lineRule="auto"/>
        <w:ind w:firstLine="480" w:firstLineChars="200"/>
        <w:rPr>
          <w:rFonts w:hint="eastAsia" w:ascii="宋体"/>
          <w:bCs/>
          <w:color w:val="000000" w:themeColor="text1"/>
          <w:sz w:val="24"/>
        </w:rPr>
      </w:pPr>
      <w:r>
        <w:rPr>
          <w:rFonts w:hint="eastAsia" w:ascii="宋体"/>
          <w:bCs/>
          <w:color w:val="000000" w:themeColor="text1"/>
          <w:sz w:val="24"/>
        </w:rPr>
        <w:t>★</w:t>
      </w:r>
      <w:bookmarkEnd w:id="12"/>
      <w:r>
        <w:rPr>
          <w:rFonts w:hint="eastAsia" w:ascii="宋体"/>
          <w:bCs/>
          <w:color w:val="000000" w:themeColor="text1"/>
          <w:sz w:val="24"/>
        </w:rPr>
        <w:t>4.</w:t>
      </w:r>
      <w:r>
        <w:rPr>
          <w:rFonts w:ascii="宋体"/>
          <w:bCs/>
          <w:color w:val="000000" w:themeColor="text1"/>
          <w:sz w:val="24"/>
        </w:rPr>
        <w:t>3</w:t>
      </w:r>
      <w:r>
        <w:rPr>
          <w:rFonts w:hint="eastAsia" w:ascii="宋体"/>
          <w:bCs/>
          <w:color w:val="000000" w:themeColor="text1"/>
          <w:sz w:val="24"/>
        </w:rPr>
        <w:t>投标人应将涉及本项目的所有支出事项均作为本项目报价构成，逐一列明进行报价并填写分项报价明细表，再合计作为项目总报价，否则作响应无效处理。</w:t>
      </w:r>
    </w:p>
    <w:p w14:paraId="0B131217">
      <w:pPr>
        <w:spacing w:line="360" w:lineRule="auto"/>
        <w:ind w:firstLine="495"/>
        <w:rPr>
          <w:rFonts w:ascii="宋体"/>
          <w:bCs/>
          <w:color w:val="000000" w:themeColor="text1"/>
          <w:sz w:val="24"/>
        </w:rPr>
      </w:pPr>
      <w:r>
        <w:rPr>
          <w:rFonts w:hint="eastAsia" w:ascii="宋体"/>
          <w:bCs/>
          <w:color w:val="000000" w:themeColor="text1"/>
          <w:sz w:val="24"/>
        </w:rPr>
        <w:t>★4.4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否则无效。</w:t>
      </w:r>
    </w:p>
    <w:p w14:paraId="12B998D3">
      <w:pPr>
        <w:widowControl/>
        <w:shd w:val="clear" w:color="auto" w:fill="FFFFFF"/>
        <w:spacing w:line="480" w:lineRule="auto"/>
        <w:ind w:firstLine="360" w:firstLineChars="1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评审</w:t>
      </w:r>
      <w:r>
        <w:rPr>
          <w:rFonts w:ascii="宋体" w:hAnsi="宋体" w:eastAsia="宋体" w:cs="宋体"/>
          <w:color w:val="000000" w:themeColor="text1"/>
          <w:kern w:val="0"/>
          <w:sz w:val="24"/>
          <w:szCs w:val="24"/>
        </w:rPr>
        <w:t>条款</w:t>
      </w:r>
      <w:r>
        <w:rPr>
          <w:rFonts w:hint="eastAsia" w:ascii="宋体" w:hAnsi="宋体" w:eastAsia="宋体" w:cs="宋体"/>
          <w:color w:val="000000" w:themeColor="text1"/>
          <w:kern w:val="0"/>
          <w:sz w:val="24"/>
          <w:szCs w:val="24"/>
        </w:rPr>
        <w:t>：</w:t>
      </w:r>
    </w:p>
    <w:p w14:paraId="1DE2D5A9">
      <w:pPr>
        <w:widowControl/>
        <w:shd w:val="clear" w:color="auto" w:fill="FFFFFF"/>
        <w:spacing w:line="480" w:lineRule="auto"/>
        <w:ind w:firstLine="360" w:firstLineChars="1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□综合评分法</w:t>
      </w:r>
    </w:p>
    <w:tbl>
      <w:tblPr>
        <w:tblStyle w:val="12"/>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3"/>
        <w:gridCol w:w="1701"/>
        <w:gridCol w:w="4961"/>
        <w:gridCol w:w="851"/>
        <w:gridCol w:w="1417"/>
      </w:tblGrid>
      <w:tr w14:paraId="59E9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50347293">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评审项编号</w:t>
            </w:r>
          </w:p>
        </w:tc>
        <w:tc>
          <w:tcPr>
            <w:tcW w:w="993" w:type="dxa"/>
          </w:tcPr>
          <w:p w14:paraId="225D24FF">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一级评审项</w:t>
            </w:r>
          </w:p>
        </w:tc>
        <w:tc>
          <w:tcPr>
            <w:tcW w:w="1701" w:type="dxa"/>
          </w:tcPr>
          <w:p w14:paraId="5CDE0852">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二级评审项</w:t>
            </w:r>
          </w:p>
        </w:tc>
        <w:tc>
          <w:tcPr>
            <w:tcW w:w="4961" w:type="dxa"/>
          </w:tcPr>
          <w:p w14:paraId="6E332BC6">
            <w:pPr>
              <w:widowControl/>
              <w:spacing w:line="480" w:lineRule="auto"/>
              <w:jc w:val="center"/>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详细要求</w:t>
            </w:r>
          </w:p>
        </w:tc>
        <w:tc>
          <w:tcPr>
            <w:tcW w:w="851" w:type="dxa"/>
          </w:tcPr>
          <w:p w14:paraId="21ACC05F">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分值</w:t>
            </w:r>
          </w:p>
        </w:tc>
        <w:tc>
          <w:tcPr>
            <w:tcW w:w="1417" w:type="dxa"/>
          </w:tcPr>
          <w:p w14:paraId="606230B2">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客观评审项</w:t>
            </w:r>
          </w:p>
        </w:tc>
      </w:tr>
      <w:tr w14:paraId="3AD9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13FA44F5">
            <w:pPr>
              <w:widowControl/>
              <w:spacing w:line="480" w:lineRule="auto"/>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993" w:type="dxa"/>
          </w:tcPr>
          <w:p w14:paraId="6C4E3E7C">
            <w:pPr>
              <w:widowControl/>
              <w:spacing w:line="480" w:lineRule="auto"/>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701" w:type="dxa"/>
          </w:tcPr>
          <w:p w14:paraId="25FFBCEF">
            <w:pPr>
              <w:widowControl/>
              <w:spacing w:line="480" w:lineRule="auto"/>
              <w:rPr>
                <w:rFonts w:ascii="宋体" w:hAnsi="宋体" w:eastAsia="宋体" w:cs="宋体"/>
                <w:color w:val="000000" w:themeColor="text1"/>
                <w:kern w:val="0"/>
                <w:sz w:val="24"/>
                <w:szCs w:val="24"/>
              </w:rPr>
            </w:pPr>
          </w:p>
        </w:tc>
        <w:tc>
          <w:tcPr>
            <w:tcW w:w="4961" w:type="dxa"/>
          </w:tcPr>
          <w:p w14:paraId="4475710A">
            <w:pPr>
              <w:widowControl/>
              <w:spacing w:line="480" w:lineRule="auto"/>
              <w:rPr>
                <w:rFonts w:ascii="宋体" w:hAnsi="宋体" w:eastAsia="宋体" w:cs="宋体"/>
                <w:color w:val="000000" w:themeColor="text1"/>
                <w:kern w:val="0"/>
                <w:sz w:val="24"/>
                <w:szCs w:val="24"/>
              </w:rPr>
            </w:pPr>
          </w:p>
        </w:tc>
        <w:tc>
          <w:tcPr>
            <w:tcW w:w="851" w:type="dxa"/>
          </w:tcPr>
          <w:p w14:paraId="06FDFA20">
            <w:pPr>
              <w:widowControl/>
              <w:spacing w:line="480" w:lineRule="auto"/>
              <w:rPr>
                <w:rFonts w:ascii="宋体" w:hAnsi="宋体" w:eastAsia="宋体" w:cs="宋体"/>
                <w:color w:val="000000" w:themeColor="text1"/>
                <w:kern w:val="0"/>
                <w:sz w:val="24"/>
                <w:szCs w:val="24"/>
              </w:rPr>
            </w:pPr>
          </w:p>
        </w:tc>
        <w:tc>
          <w:tcPr>
            <w:tcW w:w="1417" w:type="dxa"/>
          </w:tcPr>
          <w:p w14:paraId="04551C39">
            <w:pPr>
              <w:widowControl/>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是</w:t>
            </w:r>
          </w:p>
        </w:tc>
      </w:tr>
      <w:tr w14:paraId="380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7767B1C8">
            <w:pPr>
              <w:widowControl/>
              <w:spacing w:line="480" w:lineRule="auto"/>
              <w:rPr>
                <w:rFonts w:ascii="宋体" w:hAnsi="宋体" w:eastAsia="宋体" w:cs="宋体"/>
                <w:color w:val="000000" w:themeColor="text1"/>
                <w:kern w:val="0"/>
                <w:sz w:val="24"/>
                <w:szCs w:val="24"/>
              </w:rPr>
            </w:pPr>
          </w:p>
        </w:tc>
        <w:tc>
          <w:tcPr>
            <w:tcW w:w="993" w:type="dxa"/>
          </w:tcPr>
          <w:p w14:paraId="19FC6567">
            <w:pPr>
              <w:widowControl/>
              <w:spacing w:line="480" w:lineRule="auto"/>
              <w:rPr>
                <w:rFonts w:ascii="宋体" w:hAnsi="宋体" w:eastAsia="宋体" w:cs="宋体"/>
                <w:color w:val="000000" w:themeColor="text1"/>
                <w:kern w:val="0"/>
                <w:sz w:val="24"/>
                <w:szCs w:val="24"/>
              </w:rPr>
            </w:pPr>
          </w:p>
        </w:tc>
        <w:tc>
          <w:tcPr>
            <w:tcW w:w="1701" w:type="dxa"/>
          </w:tcPr>
          <w:p w14:paraId="7AD217C4">
            <w:pPr>
              <w:widowControl/>
              <w:spacing w:line="480" w:lineRule="auto"/>
              <w:rPr>
                <w:rFonts w:ascii="宋体" w:hAnsi="宋体" w:eastAsia="宋体" w:cs="宋体"/>
                <w:color w:val="000000" w:themeColor="text1"/>
                <w:kern w:val="0"/>
                <w:sz w:val="24"/>
                <w:szCs w:val="24"/>
              </w:rPr>
            </w:pPr>
          </w:p>
        </w:tc>
        <w:tc>
          <w:tcPr>
            <w:tcW w:w="4961" w:type="dxa"/>
          </w:tcPr>
          <w:p w14:paraId="283F4271">
            <w:pPr>
              <w:widowControl/>
              <w:spacing w:line="480" w:lineRule="auto"/>
              <w:rPr>
                <w:rFonts w:ascii="宋体" w:hAnsi="宋体" w:eastAsia="宋体" w:cs="宋体"/>
                <w:color w:val="000000" w:themeColor="text1"/>
                <w:kern w:val="0"/>
                <w:sz w:val="24"/>
                <w:szCs w:val="24"/>
              </w:rPr>
            </w:pPr>
          </w:p>
        </w:tc>
        <w:tc>
          <w:tcPr>
            <w:tcW w:w="851" w:type="dxa"/>
          </w:tcPr>
          <w:p w14:paraId="266EF197">
            <w:pPr>
              <w:widowControl/>
              <w:spacing w:line="480" w:lineRule="auto"/>
              <w:rPr>
                <w:rFonts w:ascii="宋体" w:hAnsi="宋体" w:eastAsia="宋体" w:cs="宋体"/>
                <w:color w:val="000000" w:themeColor="text1"/>
                <w:kern w:val="0"/>
                <w:sz w:val="24"/>
                <w:szCs w:val="24"/>
              </w:rPr>
            </w:pPr>
          </w:p>
        </w:tc>
        <w:tc>
          <w:tcPr>
            <w:tcW w:w="1417" w:type="dxa"/>
          </w:tcPr>
          <w:p w14:paraId="56FAC7FC">
            <w:pPr>
              <w:widowControl/>
              <w:spacing w:line="480" w:lineRule="auto"/>
              <w:rPr>
                <w:rFonts w:ascii="宋体" w:hAnsi="宋体" w:eastAsia="宋体" w:cs="宋体"/>
                <w:color w:val="000000" w:themeColor="text1"/>
                <w:kern w:val="0"/>
                <w:sz w:val="24"/>
                <w:szCs w:val="24"/>
              </w:rPr>
            </w:pPr>
          </w:p>
        </w:tc>
      </w:tr>
      <w:tr w14:paraId="4B50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464435E9">
            <w:pPr>
              <w:widowControl/>
              <w:spacing w:line="480" w:lineRule="auto"/>
              <w:rPr>
                <w:rFonts w:ascii="宋体" w:hAnsi="宋体" w:eastAsia="宋体" w:cs="宋体"/>
                <w:color w:val="000000" w:themeColor="text1"/>
                <w:kern w:val="0"/>
                <w:sz w:val="24"/>
                <w:szCs w:val="24"/>
              </w:rPr>
            </w:pPr>
          </w:p>
        </w:tc>
        <w:tc>
          <w:tcPr>
            <w:tcW w:w="993" w:type="dxa"/>
          </w:tcPr>
          <w:p w14:paraId="2CEE4660">
            <w:pPr>
              <w:widowControl/>
              <w:spacing w:line="480" w:lineRule="auto"/>
              <w:rPr>
                <w:rFonts w:ascii="宋体" w:hAnsi="宋体" w:eastAsia="宋体" w:cs="宋体"/>
                <w:color w:val="000000" w:themeColor="text1"/>
                <w:kern w:val="0"/>
                <w:sz w:val="24"/>
                <w:szCs w:val="24"/>
              </w:rPr>
            </w:pPr>
          </w:p>
        </w:tc>
        <w:tc>
          <w:tcPr>
            <w:tcW w:w="1701" w:type="dxa"/>
          </w:tcPr>
          <w:p w14:paraId="15AFB739">
            <w:pPr>
              <w:widowControl/>
              <w:spacing w:line="480" w:lineRule="auto"/>
              <w:rPr>
                <w:rFonts w:ascii="宋体" w:hAnsi="宋体" w:eastAsia="宋体" w:cs="宋体"/>
                <w:color w:val="000000" w:themeColor="text1"/>
                <w:kern w:val="0"/>
                <w:sz w:val="24"/>
                <w:szCs w:val="24"/>
              </w:rPr>
            </w:pPr>
          </w:p>
        </w:tc>
        <w:tc>
          <w:tcPr>
            <w:tcW w:w="4961" w:type="dxa"/>
          </w:tcPr>
          <w:p w14:paraId="1D142056">
            <w:pPr>
              <w:widowControl/>
              <w:spacing w:line="480" w:lineRule="auto"/>
              <w:rPr>
                <w:rFonts w:ascii="宋体" w:hAnsi="宋体" w:eastAsia="宋体" w:cs="宋体"/>
                <w:color w:val="000000" w:themeColor="text1"/>
                <w:kern w:val="0"/>
                <w:sz w:val="24"/>
                <w:szCs w:val="24"/>
              </w:rPr>
            </w:pPr>
          </w:p>
        </w:tc>
        <w:tc>
          <w:tcPr>
            <w:tcW w:w="851" w:type="dxa"/>
          </w:tcPr>
          <w:p w14:paraId="737F54DD">
            <w:pPr>
              <w:widowControl/>
              <w:spacing w:line="480" w:lineRule="auto"/>
              <w:rPr>
                <w:rFonts w:ascii="宋体" w:hAnsi="宋体" w:eastAsia="宋体" w:cs="宋体"/>
                <w:color w:val="000000" w:themeColor="text1"/>
                <w:kern w:val="0"/>
                <w:sz w:val="24"/>
                <w:szCs w:val="24"/>
              </w:rPr>
            </w:pPr>
          </w:p>
        </w:tc>
        <w:tc>
          <w:tcPr>
            <w:tcW w:w="1417" w:type="dxa"/>
          </w:tcPr>
          <w:p w14:paraId="766DD412">
            <w:pPr>
              <w:widowControl/>
              <w:spacing w:line="480" w:lineRule="auto"/>
              <w:rPr>
                <w:rFonts w:ascii="宋体" w:hAnsi="宋体" w:eastAsia="宋体" w:cs="宋体"/>
                <w:color w:val="000000" w:themeColor="text1"/>
                <w:kern w:val="0"/>
                <w:sz w:val="24"/>
                <w:szCs w:val="24"/>
              </w:rPr>
            </w:pPr>
          </w:p>
        </w:tc>
      </w:tr>
      <w:tr w14:paraId="605B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14:paraId="1A825852">
            <w:pPr>
              <w:widowControl/>
              <w:spacing w:line="480" w:lineRule="auto"/>
              <w:rPr>
                <w:rFonts w:ascii="宋体" w:hAnsi="宋体" w:eastAsia="宋体" w:cs="宋体"/>
                <w:color w:val="000000" w:themeColor="text1"/>
                <w:kern w:val="0"/>
                <w:sz w:val="24"/>
                <w:szCs w:val="24"/>
              </w:rPr>
            </w:pPr>
          </w:p>
        </w:tc>
        <w:tc>
          <w:tcPr>
            <w:tcW w:w="993" w:type="dxa"/>
          </w:tcPr>
          <w:p w14:paraId="0DD0D9B8">
            <w:pPr>
              <w:widowControl/>
              <w:spacing w:line="480" w:lineRule="auto"/>
              <w:rPr>
                <w:rFonts w:ascii="宋体" w:hAnsi="宋体" w:eastAsia="宋体" w:cs="宋体"/>
                <w:color w:val="000000" w:themeColor="text1"/>
                <w:kern w:val="0"/>
                <w:sz w:val="24"/>
                <w:szCs w:val="24"/>
              </w:rPr>
            </w:pPr>
          </w:p>
        </w:tc>
        <w:tc>
          <w:tcPr>
            <w:tcW w:w="1701" w:type="dxa"/>
          </w:tcPr>
          <w:p w14:paraId="550EB444">
            <w:pPr>
              <w:widowControl/>
              <w:spacing w:line="480" w:lineRule="auto"/>
              <w:rPr>
                <w:rFonts w:ascii="宋体" w:hAnsi="宋体" w:eastAsia="宋体" w:cs="宋体"/>
                <w:color w:val="000000" w:themeColor="text1"/>
                <w:kern w:val="0"/>
                <w:sz w:val="24"/>
                <w:szCs w:val="24"/>
              </w:rPr>
            </w:pPr>
          </w:p>
        </w:tc>
        <w:tc>
          <w:tcPr>
            <w:tcW w:w="4961" w:type="dxa"/>
          </w:tcPr>
          <w:p w14:paraId="5F81F749">
            <w:pPr>
              <w:widowControl/>
              <w:spacing w:line="480" w:lineRule="auto"/>
              <w:rPr>
                <w:rFonts w:ascii="宋体" w:hAnsi="宋体" w:eastAsia="宋体" w:cs="宋体"/>
                <w:color w:val="000000" w:themeColor="text1"/>
                <w:kern w:val="0"/>
                <w:sz w:val="24"/>
                <w:szCs w:val="24"/>
              </w:rPr>
            </w:pPr>
          </w:p>
        </w:tc>
        <w:tc>
          <w:tcPr>
            <w:tcW w:w="851" w:type="dxa"/>
          </w:tcPr>
          <w:p w14:paraId="25241ED7">
            <w:pPr>
              <w:widowControl/>
              <w:spacing w:line="480" w:lineRule="auto"/>
              <w:rPr>
                <w:rFonts w:ascii="宋体" w:hAnsi="宋体" w:eastAsia="宋体" w:cs="宋体"/>
                <w:color w:val="000000" w:themeColor="text1"/>
                <w:kern w:val="0"/>
                <w:sz w:val="24"/>
                <w:szCs w:val="24"/>
              </w:rPr>
            </w:pPr>
          </w:p>
        </w:tc>
        <w:tc>
          <w:tcPr>
            <w:tcW w:w="1417" w:type="dxa"/>
          </w:tcPr>
          <w:p w14:paraId="3EB60297">
            <w:pPr>
              <w:widowControl/>
              <w:spacing w:line="480" w:lineRule="auto"/>
              <w:rPr>
                <w:rFonts w:ascii="宋体" w:hAnsi="宋体" w:eastAsia="宋体" w:cs="宋体"/>
                <w:color w:val="000000" w:themeColor="text1"/>
                <w:kern w:val="0"/>
                <w:sz w:val="24"/>
                <w:szCs w:val="24"/>
              </w:rPr>
            </w:pPr>
          </w:p>
        </w:tc>
      </w:tr>
    </w:tbl>
    <w:p w14:paraId="50CDFC6E">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最低</w:t>
      </w:r>
      <w:r>
        <w:rPr>
          <w:rFonts w:ascii="宋体" w:hAnsi="宋体" w:eastAsia="宋体" w:cs="宋体"/>
          <w:color w:val="000000" w:themeColor="text1"/>
          <w:kern w:val="0"/>
          <w:sz w:val="24"/>
          <w:szCs w:val="24"/>
        </w:rPr>
        <w:t>评标价法</w:t>
      </w:r>
    </w:p>
    <w:p w14:paraId="79C313CD">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评审因素：项目实质性要求</w:t>
      </w:r>
    </w:p>
    <w:p w14:paraId="7C5C73C2">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扣除比例 0 </w:t>
      </w:r>
      <w:r>
        <w:rPr>
          <w:rFonts w:ascii="宋体" w:hAnsi="宋体" w:eastAsia="宋体" w:cs="宋体"/>
          <w:color w:val="000000" w:themeColor="text1"/>
          <w:kern w:val="0"/>
          <w:sz w:val="24"/>
          <w:szCs w:val="24"/>
        </w:rPr>
        <w:t>%：</w:t>
      </w:r>
    </w:p>
    <w:p w14:paraId="0DE81D98">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评审标准：符合项目实质性要求，报价最低为中标人</w:t>
      </w:r>
    </w:p>
    <w:p w14:paraId="38F976F8">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8、合同管理安排</w:t>
      </w:r>
    </w:p>
    <w:p w14:paraId="01760F06">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rPr>
      </w:pPr>
      <w:r>
        <w:rPr>
          <w:rFonts w:hint="eastAsia" w:ascii="宋体" w:hAnsi="宋体" w:eastAsia="宋体" w:cs="宋体"/>
          <w:color w:val="000000" w:themeColor="text1"/>
          <w:kern w:val="0"/>
          <w:sz w:val="24"/>
          <w:szCs w:val="24"/>
        </w:rPr>
        <w:t>1）合同类型：买卖合同</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 xml:space="preserve"> 租赁合同□ 建设工程合同□ 技术合同□ 委托合同□ 物业管理合同</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 其他合同□</w:t>
      </w:r>
    </w:p>
    <w:p w14:paraId="7D970429">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）合同履行期限：自合同签订之日起3年（合同一年一签）</w:t>
      </w:r>
    </w:p>
    <w:p w14:paraId="0B4FCD4D">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3</w:t>
      </w:r>
      <w:r>
        <w:rPr>
          <w:rFonts w:hint="eastAsia" w:ascii="宋体" w:hAnsi="宋体" w:eastAsia="宋体" w:cs="宋体"/>
          <w:color w:val="000000" w:themeColor="text1"/>
          <w:kern w:val="0"/>
          <w:sz w:val="24"/>
          <w:szCs w:val="24"/>
        </w:rPr>
        <w:t>）合同履约地点：</w:t>
      </w:r>
      <w:r>
        <w:rPr>
          <w:rFonts w:hint="eastAsia" w:cs="宋体" w:asciiTheme="minorEastAsia" w:hAnsiTheme="minorEastAsia"/>
          <w:color w:val="000000" w:themeColor="text1"/>
          <w:kern w:val="0"/>
          <w:sz w:val="24"/>
          <w:szCs w:val="24"/>
        </w:rPr>
        <w:t>西华大学校本部</w:t>
      </w:r>
    </w:p>
    <w:p w14:paraId="29CCE41A">
      <w:pPr>
        <w:widowControl/>
        <w:shd w:val="clear" w:color="auto" w:fill="FFFFFF"/>
        <w:spacing w:line="480" w:lineRule="auto"/>
        <w:ind w:firstLine="840"/>
        <w:rPr>
          <w:rFonts w:ascii="宋体" w:hAnsi="宋体" w:cs="宋体"/>
          <w:color w:val="000000" w:themeColor="text1"/>
          <w:kern w:val="0"/>
          <w:sz w:val="24"/>
          <w:szCs w:val="24"/>
          <w:shd w:val="clear" w:color="auto" w:fill="FFFF00"/>
        </w:rPr>
      </w:pPr>
      <w:r>
        <w:rPr>
          <w:rFonts w:ascii="宋体" w:hAnsi="宋体" w:eastAsia="宋体" w:cs="宋体"/>
          <w:color w:val="000000" w:themeColor="text1"/>
          <w:kern w:val="0"/>
          <w:sz w:val="24"/>
          <w:szCs w:val="24"/>
        </w:rPr>
        <w:t>4</w:t>
      </w:r>
      <w:r>
        <w:rPr>
          <w:rFonts w:hint="eastAsia" w:ascii="宋体" w:hAnsi="宋体" w:eastAsia="宋体" w:cs="宋体"/>
          <w:color w:val="000000" w:themeColor="text1"/>
          <w:kern w:val="0"/>
          <w:sz w:val="24"/>
          <w:szCs w:val="24"/>
        </w:rPr>
        <w:t>）支付方式：</w:t>
      </w:r>
      <w:r>
        <w:rPr>
          <w:rFonts w:hint="eastAsia"/>
          <w:color w:val="000000" w:themeColor="text1"/>
          <w:sz w:val="24"/>
        </w:rPr>
        <w:t>一次付清</w:t>
      </w:r>
      <w:r>
        <w:rPr>
          <w:rFonts w:hint="eastAsia" w:ascii="宋体" w:hAnsi="宋体" w:eastAsia="宋体" w:cs="宋体"/>
          <w:color w:val="000000" w:themeColor="text1"/>
          <w:kern w:val="0"/>
          <w:sz w:val="24"/>
          <w:szCs w:val="24"/>
        </w:rPr>
        <w:t xml:space="preserve">□ </w:t>
      </w:r>
      <w:r>
        <w:rPr>
          <w:rFonts w:hint="eastAsia"/>
          <w:color w:val="000000" w:themeColor="text1"/>
          <w:sz w:val="24"/>
        </w:rPr>
        <w:t>分期付款</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 </w:t>
      </w:r>
      <w:r>
        <w:rPr>
          <w:rFonts w:hint="eastAsia" w:ascii="宋体" w:hAnsi="宋体"/>
          <w:color w:val="000000" w:themeColor="text1"/>
          <w:sz w:val="24"/>
        </w:rPr>
        <w:t>按每月付款。</w:t>
      </w:r>
    </w:p>
    <w:p w14:paraId="04EF0927">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5）履约保证金及缴纳形式：</w:t>
      </w:r>
    </w:p>
    <w:p w14:paraId="15553D15">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中标/成交供应商是否需要缴纳履约保证金：是</w:t>
      </w:r>
    </w:p>
    <w:p w14:paraId="1E9DB58F">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履约保证金缴纳比例：5%</w:t>
      </w:r>
    </w:p>
    <w:p w14:paraId="37A2F023">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缴纳方式：银行转账</w:t>
      </w:r>
    </w:p>
    <w:p w14:paraId="5349887A">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缴纳说明：缴纳履约保证金后签订合同</w:t>
      </w:r>
    </w:p>
    <w:p w14:paraId="48F4CE17">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6）质量保证金及缴纳形式：</w:t>
      </w:r>
    </w:p>
    <w:p w14:paraId="234D619D">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中标/成交供应商是否需要缴纳质量保证金：否</w:t>
      </w:r>
    </w:p>
    <w:p w14:paraId="0D17FD19">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合同支付约定及付款条件：按每月付款。采购方原则上于次月10日前支付上月物业费用（支付物业费前完成月度考核）。如遇特殊情况（如寒暑假和每年12月份的财务结算期），双方另行约定付款时间及方式。</w:t>
      </w:r>
    </w:p>
    <w:p w14:paraId="436B9BF7">
      <w:pPr>
        <w:widowControl/>
        <w:shd w:val="clear" w:color="auto" w:fill="FFFFFF"/>
        <w:spacing w:line="480" w:lineRule="auto"/>
        <w:ind w:firstLine="720" w:firstLineChars="3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分期付款条件（如有）：</w:t>
      </w:r>
    </w:p>
    <w:p w14:paraId="16BAC068">
      <w:pPr>
        <w:widowControl/>
        <w:shd w:val="clear" w:color="auto" w:fill="FFFFFF"/>
        <w:spacing w:line="480" w:lineRule="auto"/>
        <w:ind w:firstLine="720" w:firstLineChars="3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达到付款</w:t>
      </w:r>
      <w:r>
        <w:rPr>
          <w:rFonts w:ascii="宋体" w:hAnsi="宋体" w:eastAsia="宋体" w:cs="宋体"/>
          <w:color w:val="000000" w:themeColor="text1"/>
          <w:kern w:val="0"/>
          <w:sz w:val="24"/>
          <w:szCs w:val="24"/>
        </w:rPr>
        <w:t>条件起</w:t>
      </w:r>
      <w:r>
        <w:rPr>
          <w:rFonts w:hint="eastAsia" w:ascii="宋体" w:hAnsi="宋体" w:eastAsia="宋体" w:cs="宋体"/>
          <w:color w:val="000000" w:themeColor="text1"/>
          <w:kern w:val="0"/>
          <w:sz w:val="24"/>
          <w:szCs w:val="24"/>
        </w:rPr>
        <w:t>10日</w:t>
      </w:r>
      <w:r>
        <w:rPr>
          <w:rFonts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按月支付</w:t>
      </w:r>
    </w:p>
    <w:p w14:paraId="54AED40B">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7</w:t>
      </w:r>
      <w:r>
        <w:rPr>
          <w:rFonts w:hint="eastAsia" w:ascii="宋体" w:hAnsi="宋体" w:eastAsia="宋体" w:cs="宋体"/>
          <w:color w:val="000000" w:themeColor="text1"/>
          <w:kern w:val="0"/>
          <w:sz w:val="24"/>
          <w:szCs w:val="24"/>
        </w:rPr>
        <w:t>）验收交付标准和方法：</w:t>
      </w:r>
    </w:p>
    <w:p w14:paraId="6FC884E5">
      <w:pPr>
        <w:adjustRightInd w:val="0"/>
        <w:snapToGrid w:val="0"/>
        <w:spacing w:line="360" w:lineRule="auto"/>
        <w:ind w:firstLine="480" w:firstLineChars="200"/>
        <w:rPr>
          <w:rFonts w:asciiTheme="minorEastAsia" w:hAnsiTheme="minorEastAsia"/>
          <w:color w:val="000000" w:themeColor="text1"/>
          <w:sz w:val="24"/>
          <w:szCs w:val="24"/>
        </w:rPr>
      </w:pPr>
      <w:r>
        <w:rPr>
          <w:rFonts w:hint="eastAsia" w:cs="宋体" w:asciiTheme="minorEastAsia" w:hAnsiTheme="minorEastAsia"/>
          <w:color w:val="000000" w:themeColor="text1"/>
          <w:kern w:val="0"/>
          <w:sz w:val="24"/>
          <w:szCs w:val="24"/>
        </w:rPr>
        <w:t>验收标准：</w:t>
      </w:r>
      <w:r>
        <w:rPr>
          <w:rFonts w:hint="eastAsia" w:asciiTheme="minorEastAsia" w:hAnsiTheme="minorEastAsia"/>
          <w:color w:val="000000" w:themeColor="text1"/>
          <w:sz w:val="24"/>
          <w:szCs w:val="24"/>
        </w:rPr>
        <w:t>按国家有关规定以及甲方招标文件的质量要求和技术指标、乙方的投标文件及承诺与本合同约定标准进行验收。</w:t>
      </w:r>
    </w:p>
    <w:p w14:paraId="260FA5DF">
      <w:pPr>
        <w:adjustRightInd w:val="0"/>
        <w:snapToGrid w:val="0"/>
        <w:spacing w:line="360" w:lineRule="auto"/>
        <w:ind w:firstLine="480" w:firstLineChars="2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验收方法：</w:t>
      </w:r>
      <w:r>
        <w:rPr>
          <w:rFonts w:hint="eastAsia" w:asciiTheme="minorEastAsia" w:hAnsiTheme="minorEastAsia"/>
          <w:color w:val="000000" w:themeColor="text1"/>
          <w:sz w:val="24"/>
          <w:szCs w:val="24"/>
        </w:rPr>
        <w:t>通过月度考评和学期满意度调查相结合的方式对中标方物业管  理服务绩效进行评价，组织考评小组对服务情况进行验收。</w:t>
      </w:r>
    </w:p>
    <w:p w14:paraId="7707BB29">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8</w:t>
      </w:r>
      <w:r>
        <w:rPr>
          <w:rFonts w:hint="eastAsia" w:ascii="宋体" w:hAnsi="宋体" w:eastAsia="宋体" w:cs="宋体"/>
          <w:color w:val="000000" w:themeColor="text1"/>
          <w:kern w:val="0"/>
          <w:sz w:val="24"/>
          <w:szCs w:val="24"/>
        </w:rPr>
        <w:t>）质量保修范围和保修期：按招标文件和</w:t>
      </w:r>
      <w:r>
        <w:rPr>
          <w:rFonts w:hint="eastAsia"/>
          <w:color w:val="000000" w:themeColor="text1"/>
          <w:sz w:val="24"/>
          <w:szCs w:val="24"/>
        </w:rPr>
        <w:t>合同约定执行</w:t>
      </w:r>
    </w:p>
    <w:p w14:paraId="64F7CC05">
      <w:pPr>
        <w:spacing w:line="48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w:t>
      </w:r>
      <w:r>
        <w:rPr>
          <w:rFonts w:ascii="宋体" w:hAnsi="宋体" w:eastAsia="宋体" w:cs="宋体"/>
          <w:color w:val="000000" w:themeColor="text1"/>
          <w:kern w:val="0"/>
          <w:sz w:val="24"/>
          <w:szCs w:val="24"/>
        </w:rPr>
        <w:t>9</w:t>
      </w:r>
      <w:r>
        <w:rPr>
          <w:rFonts w:hint="eastAsia" w:ascii="宋体" w:hAnsi="宋体" w:eastAsia="宋体" w:cs="宋体"/>
          <w:color w:val="000000" w:themeColor="text1"/>
          <w:kern w:val="0"/>
          <w:sz w:val="24"/>
          <w:szCs w:val="24"/>
        </w:rPr>
        <w:t>）知识产权归属和处理方式：</w:t>
      </w:r>
    </w:p>
    <w:p w14:paraId="513ED001">
      <w:pPr>
        <w:spacing w:line="480" w:lineRule="auto"/>
        <w:ind w:firstLine="480" w:firstLineChars="200"/>
        <w:rPr>
          <w:color w:val="000000" w:themeColor="text1"/>
          <w:sz w:val="24"/>
          <w:szCs w:val="24"/>
        </w:rPr>
      </w:pPr>
      <w:r>
        <w:rPr>
          <w:rFonts w:hint="eastAsia"/>
          <w:color w:val="000000" w:themeColor="text1"/>
          <w:sz w:val="24"/>
          <w:szCs w:val="24"/>
        </w:rPr>
        <w:t>（1）中标供应商应保证在本项目使用的任何产品和服务(包括部分使用)时，不会产生因第三方提出侵犯其专利权、商标权或其它知识产权而引起的法律和经济纠纷，如因专利权、商标权或其它知识产权而引起法律</w:t>
      </w:r>
    </w:p>
    <w:p w14:paraId="78B371E5">
      <w:pPr>
        <w:spacing w:line="480" w:lineRule="auto"/>
        <w:ind w:firstLine="480" w:firstLineChars="200"/>
        <w:rPr>
          <w:color w:val="000000" w:themeColor="text1"/>
          <w:sz w:val="24"/>
          <w:szCs w:val="24"/>
        </w:rPr>
      </w:pPr>
      <w:r>
        <w:rPr>
          <w:rFonts w:hint="eastAsia"/>
          <w:color w:val="000000" w:themeColor="text1"/>
          <w:sz w:val="24"/>
          <w:szCs w:val="24"/>
        </w:rPr>
        <w:t>和经济纠纷，由中标供应商承担所有相关责任。</w:t>
      </w:r>
    </w:p>
    <w:p w14:paraId="2F0C85E0">
      <w:pPr>
        <w:spacing w:line="480" w:lineRule="auto"/>
        <w:ind w:firstLine="480" w:firstLineChars="200"/>
        <w:rPr>
          <w:color w:val="000000" w:themeColor="text1"/>
          <w:sz w:val="24"/>
          <w:szCs w:val="24"/>
        </w:rPr>
      </w:pPr>
      <w:r>
        <w:rPr>
          <w:rFonts w:hint="eastAsia"/>
          <w:color w:val="000000" w:themeColor="text1"/>
          <w:sz w:val="24"/>
          <w:szCs w:val="24"/>
        </w:rPr>
        <w:t>（2）采购人享有本项目实施过程中产生的知识成果及知识产权。</w:t>
      </w:r>
    </w:p>
    <w:p w14:paraId="09B0E6AA">
      <w:pPr>
        <w:spacing w:line="480" w:lineRule="auto"/>
        <w:ind w:firstLine="480" w:firstLineChars="200"/>
        <w:rPr>
          <w:color w:val="000000" w:themeColor="text1"/>
          <w:sz w:val="24"/>
          <w:szCs w:val="24"/>
        </w:rPr>
      </w:pPr>
      <w:r>
        <w:rPr>
          <w:rFonts w:hint="eastAsia"/>
          <w:color w:val="000000" w:themeColor="text1"/>
          <w:sz w:val="24"/>
          <w:szCs w:val="24"/>
        </w:rPr>
        <w:t>（3）中标供应商声明如果在项目实施过程中涉及采用自有知识成果，中标供应商提供使用自有知识成果的相关资料并为其真实性单独负责，在使用该知识成果后，中标供应商提供开发接口和开发手册等技术文档给采购人，并承诺提供无限期技术支持，采购人享有永久使用权(含采购人委托第三方在该项目后续开发的使用权)。</w:t>
      </w:r>
    </w:p>
    <w:p w14:paraId="14A4FC79">
      <w:pPr>
        <w:spacing w:line="480" w:lineRule="auto"/>
        <w:ind w:firstLine="480" w:firstLineChars="200"/>
        <w:rPr>
          <w:rFonts w:ascii="宋体" w:hAnsi="宋体" w:eastAsia="宋体" w:cs="宋体"/>
          <w:color w:val="000000" w:themeColor="text1"/>
          <w:kern w:val="0"/>
          <w:sz w:val="24"/>
          <w:szCs w:val="24"/>
        </w:rPr>
      </w:pPr>
      <w:r>
        <w:rPr>
          <w:rFonts w:hint="eastAsia"/>
          <w:color w:val="000000" w:themeColor="text1"/>
          <w:sz w:val="24"/>
          <w:szCs w:val="24"/>
        </w:rPr>
        <w:t>（4）如采用中标供应商所不拥有的知识产权，中标供应商承诺在本项目投标报价中已经包括合法获取该知识产权的相关费用。</w:t>
      </w:r>
    </w:p>
    <w:p w14:paraId="722DAE18">
      <w:pPr>
        <w:pStyle w:val="7"/>
        <w:spacing w:line="360" w:lineRule="auto"/>
        <w:ind w:firstLine="720" w:firstLineChars="300"/>
        <w:rPr>
          <w:color w:val="000000" w:themeColor="text1"/>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0</w:t>
      </w:r>
      <w:r>
        <w:rPr>
          <w:rFonts w:hint="eastAsia" w:ascii="宋体" w:hAnsi="宋体" w:eastAsia="宋体" w:cs="宋体"/>
          <w:color w:val="000000" w:themeColor="text1"/>
          <w:kern w:val="0"/>
          <w:sz w:val="24"/>
          <w:szCs w:val="24"/>
        </w:rPr>
        <w:t>）成本补偿和风险分担约定：按招标文件和</w:t>
      </w:r>
      <w:r>
        <w:rPr>
          <w:rFonts w:hint="eastAsia"/>
          <w:color w:val="000000" w:themeColor="text1"/>
          <w:sz w:val="24"/>
          <w:szCs w:val="24"/>
        </w:rPr>
        <w:t>合同约定执行</w:t>
      </w:r>
    </w:p>
    <w:p w14:paraId="22CE023B">
      <w:pPr>
        <w:adjustRightInd w:val="0"/>
        <w:snapToGrid w:val="0"/>
        <w:spacing w:line="360" w:lineRule="auto"/>
        <w:ind w:firstLine="720" w:firstLineChars="300"/>
        <w:rPr>
          <w:rFonts w:ascii="宋体" w:hAnsi="宋体"/>
          <w:color w:val="000000" w:themeColor="text1"/>
          <w:sz w:val="24"/>
        </w:rPr>
      </w:pPr>
      <w:r>
        <w:rPr>
          <w:rFonts w:hint="eastAsia" w:ascii="宋体" w:hAnsi="宋体" w:eastAsia="宋体" w:cs="宋体"/>
          <w:color w:val="000000" w:themeColor="text1"/>
          <w:kern w:val="0"/>
          <w:sz w:val="24"/>
          <w:szCs w:val="24"/>
        </w:rPr>
        <w:t>11）违约责任与解决争议的方法：</w:t>
      </w:r>
      <w:r>
        <w:rPr>
          <w:rFonts w:ascii="宋体" w:hAnsi="宋体"/>
          <w:color w:val="000000" w:themeColor="text1"/>
          <w:sz w:val="24"/>
        </w:rPr>
        <w:t>如中标人向采购人提供虚假</w:t>
      </w:r>
      <w:r>
        <w:rPr>
          <w:rFonts w:hint="eastAsia" w:ascii="宋体" w:hAnsi="宋体"/>
          <w:color w:val="000000" w:themeColor="text1"/>
          <w:sz w:val="24"/>
        </w:rPr>
        <w:t>材料</w:t>
      </w:r>
      <w:r>
        <w:rPr>
          <w:rFonts w:ascii="宋体" w:hAnsi="宋体"/>
          <w:color w:val="000000" w:themeColor="text1"/>
          <w:sz w:val="24"/>
        </w:rPr>
        <w:t>，采</w:t>
      </w:r>
    </w:p>
    <w:p w14:paraId="7ECFEC45">
      <w:pPr>
        <w:adjustRightInd w:val="0"/>
        <w:snapToGrid w:val="0"/>
        <w:spacing w:line="360" w:lineRule="auto"/>
        <w:rPr>
          <w:rFonts w:ascii="宋体" w:hAnsi="宋体" w:eastAsia="宋体" w:cs="宋体"/>
          <w:color w:val="000000" w:themeColor="text1"/>
          <w:kern w:val="0"/>
          <w:sz w:val="24"/>
          <w:szCs w:val="24"/>
          <w:shd w:val="clear" w:color="auto" w:fill="FFFF00"/>
        </w:rPr>
      </w:pPr>
      <w:r>
        <w:rPr>
          <w:rFonts w:ascii="宋体" w:hAnsi="宋体"/>
          <w:color w:val="000000" w:themeColor="text1"/>
          <w:sz w:val="24"/>
        </w:rPr>
        <w:t>购人有权要求</w:t>
      </w:r>
      <w:r>
        <w:rPr>
          <w:rFonts w:hint="eastAsia" w:ascii="宋体" w:hAnsi="宋体"/>
          <w:color w:val="000000" w:themeColor="text1"/>
          <w:sz w:val="24"/>
        </w:rPr>
        <w:t>终止合同</w:t>
      </w:r>
      <w:r>
        <w:rPr>
          <w:rFonts w:ascii="宋体" w:hAnsi="宋体"/>
          <w:color w:val="000000" w:themeColor="text1"/>
          <w:sz w:val="24"/>
        </w:rPr>
        <w:t>，</w:t>
      </w:r>
      <w:r>
        <w:rPr>
          <w:rFonts w:hint="eastAsia" w:ascii="宋体" w:hAnsi="宋体"/>
          <w:color w:val="000000" w:themeColor="text1"/>
          <w:sz w:val="24"/>
        </w:rPr>
        <w:t>并</w:t>
      </w:r>
      <w:r>
        <w:rPr>
          <w:rFonts w:ascii="宋体" w:hAnsi="宋体"/>
          <w:color w:val="000000" w:themeColor="text1"/>
          <w:sz w:val="24"/>
        </w:rPr>
        <w:t>报省财政厅</w:t>
      </w:r>
      <w:r>
        <w:rPr>
          <w:rFonts w:hint="eastAsia" w:ascii="宋体" w:hAnsi="宋体"/>
          <w:color w:val="000000" w:themeColor="text1"/>
          <w:sz w:val="24"/>
        </w:rPr>
        <w:t>相关部门</w:t>
      </w:r>
      <w:r>
        <w:rPr>
          <w:rFonts w:ascii="宋体" w:hAnsi="宋体"/>
          <w:color w:val="000000" w:themeColor="text1"/>
          <w:sz w:val="24"/>
        </w:rPr>
        <w:t>进行处罚</w:t>
      </w:r>
      <w:r>
        <w:rPr>
          <w:rFonts w:hint="eastAsia" w:ascii="宋体" w:hAnsi="宋体"/>
          <w:color w:val="000000" w:themeColor="text1"/>
          <w:sz w:val="24"/>
        </w:rPr>
        <w:t>，学校</w:t>
      </w:r>
      <w:r>
        <w:rPr>
          <w:rFonts w:ascii="宋体" w:hAnsi="宋体"/>
          <w:color w:val="000000" w:themeColor="text1"/>
          <w:sz w:val="24"/>
        </w:rPr>
        <w:t>保留向中标人追究法律责任</w:t>
      </w:r>
      <w:r>
        <w:rPr>
          <w:rFonts w:hint="eastAsia" w:ascii="宋体" w:hAnsi="宋体"/>
          <w:color w:val="000000" w:themeColor="text1"/>
          <w:sz w:val="24"/>
        </w:rPr>
        <w:t>的</w:t>
      </w:r>
      <w:r>
        <w:rPr>
          <w:rFonts w:ascii="宋体" w:hAnsi="宋体"/>
          <w:color w:val="000000" w:themeColor="text1"/>
          <w:sz w:val="24"/>
        </w:rPr>
        <w:t>权利</w:t>
      </w:r>
      <w:r>
        <w:rPr>
          <w:rFonts w:hint="eastAsia" w:ascii="宋体" w:hAnsi="宋体"/>
          <w:color w:val="000000" w:themeColor="text1"/>
          <w:sz w:val="24"/>
        </w:rPr>
        <w:t>。</w:t>
      </w:r>
      <w:r>
        <w:rPr>
          <w:rFonts w:ascii="宋体" w:hAnsi="宋体"/>
          <w:color w:val="000000" w:themeColor="text1"/>
          <w:sz w:val="24"/>
        </w:rPr>
        <w:t xml:space="preserve"> </w:t>
      </w:r>
    </w:p>
    <w:p w14:paraId="0B9B7FCB">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）合同其他条款：按招标文件和</w:t>
      </w:r>
      <w:r>
        <w:rPr>
          <w:rFonts w:hint="eastAsia"/>
          <w:color w:val="000000" w:themeColor="text1"/>
          <w:sz w:val="24"/>
          <w:szCs w:val="24"/>
        </w:rPr>
        <w:t>合同约定执行</w:t>
      </w:r>
    </w:p>
    <w:p w14:paraId="3BBE44C4">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9、履约验收方案</w:t>
      </w:r>
    </w:p>
    <w:p w14:paraId="0244943E">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1）验收组织方式：</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自行验收  □委托第三方验收</w:t>
      </w:r>
    </w:p>
    <w:p w14:paraId="42095567">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2）是否邀请本项目的其他供应商：是</w:t>
      </w:r>
      <w:r>
        <w:rPr>
          <w:rFonts w:hint="eastAsia" w:ascii="宋体" w:hAnsi="宋体" w:eastAsia="宋体" w:cs="宋体"/>
          <w:color w:val="000000" w:themeColor="text1"/>
          <w:kern w:val="0"/>
          <w:sz w:val="24"/>
          <w:szCs w:val="24"/>
        </w:rPr>
        <w:sym w:font="Wingdings" w:char="00A8"/>
      </w:r>
      <w:r>
        <w:rPr>
          <w:rFonts w:hint="eastAsia" w:ascii="宋体" w:hAnsi="宋体" w:eastAsia="宋体" w:cs="宋体"/>
          <w:color w:val="000000" w:themeColor="text1"/>
          <w:kern w:val="0"/>
          <w:sz w:val="24"/>
          <w:szCs w:val="24"/>
        </w:rPr>
        <w:t xml:space="preserve"> 否</w:t>
      </w:r>
      <w:r>
        <w:rPr>
          <w:rFonts w:hint="eastAsia" w:ascii="宋体" w:hAnsi="宋体" w:eastAsia="宋体" w:cs="宋体"/>
          <w:color w:val="000000" w:themeColor="text1"/>
          <w:kern w:val="0"/>
          <w:sz w:val="24"/>
          <w:szCs w:val="24"/>
        </w:rPr>
        <w:sym w:font="Wingdings 2" w:char="0052"/>
      </w:r>
    </w:p>
    <w:p w14:paraId="092D8C85">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3）是否邀请专家：是□ 否</w:t>
      </w:r>
      <w:r>
        <w:rPr>
          <w:rFonts w:hint="eastAsia" w:ascii="宋体" w:hAnsi="宋体" w:eastAsia="宋体" w:cs="宋体"/>
          <w:color w:val="000000" w:themeColor="text1"/>
          <w:kern w:val="0"/>
          <w:sz w:val="24"/>
          <w:szCs w:val="24"/>
        </w:rPr>
        <w:sym w:font="Wingdings" w:char="00FE"/>
      </w:r>
    </w:p>
    <w:p w14:paraId="4ACB2AA5">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4）是否邀请服务对象：是</w:t>
      </w:r>
      <w:r>
        <w:rPr>
          <w:rFonts w:hint="eastAsia" w:ascii="宋体" w:hAnsi="宋体" w:eastAsia="宋体" w:cs="宋体"/>
          <w:color w:val="000000" w:themeColor="text1"/>
          <w:kern w:val="0"/>
          <w:sz w:val="24"/>
          <w:szCs w:val="24"/>
        </w:rPr>
        <w:sym w:font="Wingdings" w:char="00A8"/>
      </w:r>
      <w:r>
        <w:rPr>
          <w:rFonts w:hint="eastAsia" w:ascii="宋体" w:hAnsi="宋体" w:eastAsia="宋体" w:cs="宋体"/>
          <w:color w:val="000000" w:themeColor="text1"/>
          <w:kern w:val="0"/>
          <w:sz w:val="24"/>
          <w:szCs w:val="24"/>
        </w:rPr>
        <w:t xml:space="preserve">  否</w:t>
      </w:r>
      <w:r>
        <w:rPr>
          <w:rFonts w:hint="eastAsia" w:ascii="宋体" w:hAnsi="宋体" w:eastAsia="宋体" w:cs="宋体"/>
          <w:color w:val="000000" w:themeColor="text1"/>
          <w:kern w:val="0"/>
          <w:sz w:val="24"/>
          <w:szCs w:val="24"/>
        </w:rPr>
        <w:sym w:font="Wingdings 2" w:char="0052"/>
      </w:r>
    </w:p>
    <w:p w14:paraId="5C3D46D1">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5）是否邀请第三方检测机构：是□ 否</w:t>
      </w:r>
      <w:r>
        <w:rPr>
          <w:rFonts w:hint="eastAsia" w:ascii="宋体" w:hAnsi="宋体" w:eastAsia="宋体" w:cs="宋体"/>
          <w:color w:val="000000" w:themeColor="text1"/>
          <w:kern w:val="0"/>
          <w:sz w:val="24"/>
          <w:szCs w:val="24"/>
        </w:rPr>
        <w:sym w:font="Wingdings" w:char="F0FE"/>
      </w:r>
    </w:p>
    <w:p w14:paraId="0BA74FD4">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6）履约验收程序：□一次性验收 </w:t>
      </w:r>
      <w:r>
        <w:rPr>
          <w:rFonts w:hint="eastAsia" w:ascii="宋体" w:hAnsi="宋体" w:eastAsia="宋体" w:cs="宋体"/>
          <w:color w:val="000000" w:themeColor="text1"/>
          <w:kern w:val="0"/>
          <w:sz w:val="24"/>
          <w:szCs w:val="24"/>
        </w:rPr>
        <w:sym w:font="Wingdings" w:char="00FE"/>
      </w:r>
      <w:r>
        <w:rPr>
          <w:rFonts w:hint="eastAsia" w:ascii="宋体" w:hAnsi="宋体" w:eastAsia="宋体" w:cs="宋体"/>
          <w:color w:val="000000" w:themeColor="text1"/>
          <w:kern w:val="0"/>
          <w:sz w:val="24"/>
          <w:szCs w:val="24"/>
        </w:rPr>
        <w:t>分段/分期验收</w:t>
      </w:r>
    </w:p>
    <w:p w14:paraId="7DE6CAF5">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7）履约验收时间：</w:t>
      </w:r>
    </w:p>
    <w:p w14:paraId="0EDED8D3">
      <w:pPr>
        <w:widowControl/>
        <w:shd w:val="clear" w:color="auto" w:fill="FFFFFF"/>
        <w:spacing w:line="480" w:lineRule="auto"/>
        <w:ind w:firstLine="960" w:firstLineChars="4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□计划于   组织验收</w:t>
      </w:r>
    </w:p>
    <w:p w14:paraId="47CFB3BE">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供应商提出验收申请之日起10日内组织验收</w:t>
      </w:r>
    </w:p>
    <w:p w14:paraId="2B2DE55F">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8</w:t>
      </w:r>
      <w:r>
        <w:rPr>
          <w:rFonts w:hint="eastAsia" w:ascii="宋体" w:hAnsi="宋体" w:eastAsia="宋体" w:cs="宋体"/>
          <w:color w:val="000000" w:themeColor="text1"/>
          <w:kern w:val="0"/>
          <w:sz w:val="24"/>
          <w:szCs w:val="24"/>
        </w:rPr>
        <w:t>）验收组织的其他事项：按招标文件和</w:t>
      </w:r>
      <w:r>
        <w:rPr>
          <w:rFonts w:hint="eastAsia"/>
          <w:color w:val="000000" w:themeColor="text1"/>
          <w:sz w:val="24"/>
          <w:szCs w:val="24"/>
        </w:rPr>
        <w:t>合同约定执行</w:t>
      </w:r>
    </w:p>
    <w:p w14:paraId="179C591F">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9</w:t>
      </w:r>
      <w:r>
        <w:rPr>
          <w:rFonts w:hint="eastAsia" w:ascii="宋体" w:hAnsi="宋体" w:eastAsia="宋体" w:cs="宋体"/>
          <w:color w:val="000000" w:themeColor="text1"/>
          <w:kern w:val="0"/>
          <w:sz w:val="24"/>
          <w:szCs w:val="24"/>
        </w:rPr>
        <w:t>）技术履约验收内容：按招标文件和</w:t>
      </w:r>
      <w:r>
        <w:rPr>
          <w:rFonts w:hint="eastAsia"/>
          <w:color w:val="000000" w:themeColor="text1"/>
          <w:sz w:val="24"/>
          <w:szCs w:val="24"/>
        </w:rPr>
        <w:t>合同约定执行</w:t>
      </w:r>
    </w:p>
    <w:p w14:paraId="255C5A2A">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rPr>
      </w:pPr>
      <w:r>
        <w:rPr>
          <w:rFonts w:ascii="宋体" w:hAnsi="宋体" w:eastAsia="宋体" w:cs="宋体"/>
          <w:color w:val="000000" w:themeColor="text1"/>
          <w:kern w:val="0"/>
          <w:sz w:val="24"/>
          <w:szCs w:val="24"/>
        </w:rPr>
        <w:t>10</w:t>
      </w:r>
      <w:r>
        <w:rPr>
          <w:rFonts w:hint="eastAsia" w:ascii="宋体" w:hAnsi="宋体" w:eastAsia="宋体" w:cs="宋体"/>
          <w:color w:val="000000" w:themeColor="text1"/>
          <w:kern w:val="0"/>
          <w:sz w:val="24"/>
          <w:szCs w:val="24"/>
        </w:rPr>
        <w:t>）商务履约验收内容：按招标文件和</w:t>
      </w:r>
      <w:r>
        <w:rPr>
          <w:rFonts w:hint="eastAsia"/>
          <w:color w:val="000000" w:themeColor="text1"/>
          <w:sz w:val="24"/>
          <w:szCs w:val="24"/>
        </w:rPr>
        <w:t>合同约定执行</w:t>
      </w:r>
    </w:p>
    <w:p w14:paraId="211F771F">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rPr>
        <w:t>）履约验收标准：</w:t>
      </w:r>
      <w:r>
        <w:rPr>
          <w:rFonts w:hint="eastAsia" w:asciiTheme="minorEastAsia" w:hAnsiTheme="minorEastAsia"/>
          <w:color w:val="000000" w:themeColor="text1"/>
          <w:sz w:val="24"/>
          <w:szCs w:val="24"/>
        </w:rPr>
        <w:t>按国家有关规定以及甲方招标文件的质量要求和技术指标、乙方的投标文件及承诺与本合同约定标准进行验收。</w:t>
      </w:r>
    </w:p>
    <w:p w14:paraId="37FD2001">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）履约验收其他事项：按招标文件和合同要求验收</w:t>
      </w:r>
    </w:p>
    <w:p w14:paraId="3E62ED72">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五、风险控制措施和替代方案</w:t>
      </w:r>
    </w:p>
    <w:p w14:paraId="61340C71">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该采购项目按照《政府采购需求管理办法》第二十五条规定，本项目是否需要组织风险判断、提出处置措施和替代方案：是□（填以下</w:t>
      </w:r>
      <w:r>
        <w:rPr>
          <w:rFonts w:ascii="宋体" w:hAnsi="宋体" w:eastAsia="宋体" w:cs="宋体"/>
          <w:color w:val="000000" w:themeColor="text1"/>
          <w:kern w:val="0"/>
          <w:sz w:val="24"/>
          <w:szCs w:val="24"/>
        </w:rPr>
        <w:t>信息</w:t>
      </w:r>
      <w:r>
        <w:rPr>
          <w:rFonts w:hint="eastAsia" w:ascii="宋体" w:hAnsi="宋体" w:eastAsia="宋体" w:cs="宋体"/>
          <w:color w:val="000000" w:themeColor="text1"/>
          <w:kern w:val="0"/>
          <w:sz w:val="24"/>
          <w:szCs w:val="24"/>
        </w:rPr>
        <w:t>）否</w:t>
      </w:r>
      <w:r>
        <w:rPr>
          <w:rFonts w:hint="eastAsia" w:ascii="宋体" w:hAnsi="宋体" w:eastAsia="宋体" w:cs="宋体"/>
          <w:color w:val="000000" w:themeColor="text1"/>
          <w:kern w:val="0"/>
          <w:sz w:val="24"/>
          <w:szCs w:val="24"/>
        </w:rPr>
        <w:sym w:font="Wingdings" w:char="F0FE"/>
      </w:r>
    </w:p>
    <w:p w14:paraId="2C5A5A7E">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1）国家政策变化风险的应对措施：</w:t>
      </w:r>
    </w:p>
    <w:p w14:paraId="386EAB3D">
      <w:pPr>
        <w:widowControl/>
        <w:shd w:val="clear" w:color="auto" w:fill="FFFFFF"/>
        <w:spacing w:line="480" w:lineRule="auto"/>
        <w:ind w:firstLine="840"/>
        <w:rPr>
          <w:rFonts w:ascii="宋体" w:hAnsi="宋体" w:eastAsia="宋体" w:cs="宋体"/>
          <w:color w:val="000000" w:themeColor="text1"/>
          <w:kern w:val="0"/>
          <w:sz w:val="24"/>
          <w:szCs w:val="24"/>
        </w:rPr>
      </w:pPr>
    </w:p>
    <w:p w14:paraId="13E59D6E">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2）实施环境变化风险的应对措施：</w:t>
      </w:r>
    </w:p>
    <w:p w14:paraId="4721BF57">
      <w:pPr>
        <w:widowControl/>
        <w:shd w:val="clear" w:color="auto" w:fill="FFFFFF"/>
        <w:spacing w:line="480" w:lineRule="auto"/>
        <w:ind w:firstLine="840"/>
        <w:rPr>
          <w:rFonts w:ascii="宋体" w:hAnsi="宋体" w:eastAsia="宋体" w:cs="宋体"/>
          <w:color w:val="000000" w:themeColor="text1"/>
          <w:kern w:val="0"/>
          <w:sz w:val="24"/>
          <w:szCs w:val="24"/>
        </w:rPr>
      </w:pPr>
    </w:p>
    <w:p w14:paraId="0FE7D1C0">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3）重大技术变化风险的应对措施：</w:t>
      </w:r>
    </w:p>
    <w:p w14:paraId="08D00E07">
      <w:pPr>
        <w:widowControl/>
        <w:shd w:val="clear" w:color="auto" w:fill="FFFFFF"/>
        <w:spacing w:line="480" w:lineRule="auto"/>
        <w:ind w:firstLine="840"/>
        <w:rPr>
          <w:rFonts w:ascii="宋体" w:hAnsi="宋体" w:eastAsia="宋体" w:cs="宋体"/>
          <w:color w:val="000000" w:themeColor="text1"/>
          <w:kern w:val="0"/>
          <w:sz w:val="24"/>
          <w:szCs w:val="24"/>
        </w:rPr>
      </w:pPr>
    </w:p>
    <w:p w14:paraId="1CA2254A">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4）预算项目调整风险的应对措施：</w:t>
      </w:r>
    </w:p>
    <w:p w14:paraId="5163CC59">
      <w:pPr>
        <w:widowControl/>
        <w:shd w:val="clear" w:color="auto" w:fill="FFFFFF"/>
        <w:spacing w:line="480" w:lineRule="auto"/>
        <w:ind w:firstLine="840"/>
        <w:rPr>
          <w:rFonts w:ascii="宋体" w:hAnsi="宋体" w:eastAsia="宋体" w:cs="宋体"/>
          <w:color w:val="000000" w:themeColor="text1"/>
          <w:kern w:val="0"/>
          <w:sz w:val="24"/>
          <w:szCs w:val="24"/>
        </w:rPr>
      </w:pPr>
    </w:p>
    <w:p w14:paraId="6C5BBC84">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5）因质疑投诉影响采购进度风险的应对措施：</w:t>
      </w:r>
    </w:p>
    <w:p w14:paraId="3E8BF78B">
      <w:pPr>
        <w:widowControl/>
        <w:shd w:val="clear" w:color="auto" w:fill="FFFFFF"/>
        <w:spacing w:line="480" w:lineRule="auto"/>
        <w:ind w:firstLine="840"/>
        <w:rPr>
          <w:rFonts w:ascii="宋体" w:hAnsi="宋体" w:eastAsia="宋体" w:cs="宋体"/>
          <w:color w:val="000000" w:themeColor="text1"/>
          <w:kern w:val="0"/>
          <w:sz w:val="24"/>
          <w:szCs w:val="24"/>
        </w:rPr>
      </w:pPr>
    </w:p>
    <w:p w14:paraId="3F7B4500">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6）采购失败风险的应对措施：</w:t>
      </w:r>
    </w:p>
    <w:p w14:paraId="56E91D7A">
      <w:pPr>
        <w:widowControl/>
        <w:shd w:val="clear" w:color="auto" w:fill="FFFFFF"/>
        <w:spacing w:line="480" w:lineRule="auto"/>
        <w:ind w:firstLine="840"/>
        <w:rPr>
          <w:rFonts w:ascii="宋体" w:hAnsi="宋体" w:eastAsia="宋体" w:cs="宋体"/>
          <w:color w:val="000000" w:themeColor="text1"/>
          <w:kern w:val="0"/>
          <w:sz w:val="24"/>
          <w:szCs w:val="24"/>
        </w:rPr>
      </w:pPr>
    </w:p>
    <w:p w14:paraId="167D5C15">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7）不按规定签订或者履行合同风险的应对措施：</w:t>
      </w:r>
    </w:p>
    <w:p w14:paraId="5605EEEC">
      <w:pPr>
        <w:widowControl/>
        <w:shd w:val="clear" w:color="auto" w:fill="FFFFFF"/>
        <w:spacing w:line="480" w:lineRule="auto"/>
        <w:ind w:firstLine="840"/>
        <w:rPr>
          <w:rFonts w:ascii="宋体" w:hAnsi="宋体" w:eastAsia="宋体" w:cs="宋体"/>
          <w:color w:val="000000" w:themeColor="text1"/>
          <w:kern w:val="0"/>
          <w:sz w:val="24"/>
          <w:szCs w:val="24"/>
        </w:rPr>
      </w:pPr>
    </w:p>
    <w:p w14:paraId="6AA12D88">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8）出现损害国家利益和社会公共利益情形风险的应对措施：</w:t>
      </w:r>
    </w:p>
    <w:p w14:paraId="27E31EB9">
      <w:pPr>
        <w:widowControl/>
        <w:shd w:val="clear" w:color="auto" w:fill="FFFFFF"/>
        <w:spacing w:line="480" w:lineRule="auto"/>
        <w:ind w:firstLine="840"/>
        <w:rPr>
          <w:rFonts w:ascii="宋体" w:hAnsi="宋体" w:eastAsia="宋体" w:cs="宋体"/>
          <w:color w:val="000000" w:themeColor="text1"/>
          <w:kern w:val="0"/>
          <w:sz w:val="24"/>
          <w:szCs w:val="24"/>
        </w:rPr>
      </w:pPr>
    </w:p>
    <w:p w14:paraId="5BC614A5">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9）其他采购和合同履行过程的风险及应对措施：</w:t>
      </w:r>
    </w:p>
    <w:p w14:paraId="4F9ABC88">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项目负责人（签字）：</w:t>
      </w:r>
    </w:p>
    <w:p w14:paraId="5F1A8FDC">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项目单位负责人（签字）：</w:t>
      </w:r>
    </w:p>
    <w:p w14:paraId="0545F65D">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经费主管部门负责人（签字）：　　　　　　　　　　　</w:t>
      </w:r>
    </w:p>
    <w:p w14:paraId="45F02233">
      <w:pPr>
        <w:widowControl/>
        <w:shd w:val="clear" w:color="auto" w:fill="FFFFFF"/>
        <w:spacing w:line="480" w:lineRule="auto"/>
        <w:ind w:firstLine="6000" w:firstLineChars="25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年  月  日</w:t>
      </w:r>
    </w:p>
    <w:p w14:paraId="7119E7CC">
      <w:pPr>
        <w:rPr>
          <w:color w:val="000000" w:themeColor="text1"/>
        </w:rPr>
      </w:pPr>
    </w:p>
    <w:p w14:paraId="563A5B26">
      <w:pPr>
        <w:rPr>
          <w:color w:val="000000" w:themeColor="text1"/>
          <w:sz w:val="28"/>
        </w:rPr>
      </w:pPr>
      <w:r>
        <w:rPr>
          <w:rFonts w:hint="eastAsia"/>
          <w:color w:val="000000" w:themeColor="text1"/>
          <w:sz w:val="28"/>
        </w:rPr>
        <w:t>注意事项</w:t>
      </w:r>
      <w:r>
        <w:rPr>
          <w:color w:val="000000" w:themeColor="text1"/>
          <w:sz w:val="28"/>
        </w:rPr>
        <w:t>：</w:t>
      </w:r>
    </w:p>
    <w:p w14:paraId="73702616">
      <w:pPr>
        <w:ind w:firstLine="560" w:firstLineChars="200"/>
        <w:rPr>
          <w:color w:val="000000" w:themeColor="text1"/>
          <w:sz w:val="28"/>
        </w:rPr>
      </w:pPr>
      <w:r>
        <w:rPr>
          <w:rFonts w:hint="eastAsia"/>
          <w:color w:val="000000" w:themeColor="text1"/>
          <w:sz w:val="28"/>
        </w:rPr>
        <w:t>1.采购项目预算大于50万元（含50万元）需提供采购单位确定需求的部（处）会议纪要或学院党政联席会议纪要。</w:t>
      </w:r>
    </w:p>
    <w:p w14:paraId="00D695E1">
      <w:pPr>
        <w:ind w:firstLine="560" w:firstLineChars="200"/>
        <w:rPr>
          <w:color w:val="000000" w:themeColor="text1"/>
          <w:sz w:val="28"/>
        </w:rPr>
      </w:pPr>
      <w:r>
        <w:rPr>
          <w:rFonts w:hint="eastAsia"/>
          <w:color w:val="000000" w:themeColor="text1"/>
          <w:sz w:val="28"/>
        </w:rPr>
        <w:t>2.各单位政府采购</w:t>
      </w:r>
      <w:r>
        <w:rPr>
          <w:color w:val="000000" w:themeColor="text1"/>
          <w:sz w:val="28"/>
        </w:rPr>
        <w:t>项目</w:t>
      </w:r>
      <w:r>
        <w:rPr>
          <w:rFonts w:hint="eastAsia"/>
          <w:color w:val="000000" w:themeColor="text1"/>
          <w:sz w:val="28"/>
        </w:rPr>
        <w:t>的采购</w:t>
      </w:r>
      <w:r>
        <w:rPr>
          <w:color w:val="000000" w:themeColor="text1"/>
          <w:sz w:val="28"/>
        </w:rPr>
        <w:t>需求</w:t>
      </w:r>
      <w:r>
        <w:rPr>
          <w:rFonts w:hint="eastAsia"/>
          <w:color w:val="000000" w:themeColor="text1"/>
          <w:sz w:val="28"/>
        </w:rPr>
        <w:t>在部门（学院）</w:t>
      </w:r>
      <w:r>
        <w:rPr>
          <w:color w:val="000000" w:themeColor="text1"/>
          <w:sz w:val="28"/>
        </w:rPr>
        <w:t>网站</w:t>
      </w:r>
      <w:r>
        <w:rPr>
          <w:rFonts w:hint="eastAsia"/>
          <w:color w:val="000000" w:themeColor="text1"/>
          <w:sz w:val="28"/>
        </w:rPr>
        <w:t>首页公示不少于3天。公示</w:t>
      </w:r>
      <w:r>
        <w:rPr>
          <w:color w:val="000000" w:themeColor="text1"/>
          <w:sz w:val="28"/>
        </w:rPr>
        <w:t>期结束后</w:t>
      </w:r>
      <w:r>
        <w:rPr>
          <w:rFonts w:hint="eastAsia"/>
          <w:color w:val="000000" w:themeColor="text1"/>
          <w:sz w:val="28"/>
        </w:rPr>
        <w:t>将</w:t>
      </w:r>
      <w:r>
        <w:rPr>
          <w:color w:val="000000" w:themeColor="text1"/>
          <w:sz w:val="28"/>
        </w:rPr>
        <w:t>公</w:t>
      </w:r>
      <w:r>
        <w:rPr>
          <w:rFonts w:hint="eastAsia"/>
          <w:color w:val="000000" w:themeColor="text1"/>
          <w:sz w:val="28"/>
        </w:rPr>
        <w:t>示</w:t>
      </w:r>
      <w:r>
        <w:rPr>
          <w:color w:val="000000" w:themeColor="text1"/>
          <w:sz w:val="28"/>
        </w:rPr>
        <w:t>截图</w:t>
      </w:r>
      <w:r>
        <w:rPr>
          <w:rFonts w:hint="eastAsia"/>
          <w:color w:val="000000" w:themeColor="text1"/>
          <w:sz w:val="28"/>
        </w:rPr>
        <w:t>打印</w:t>
      </w:r>
      <w:r>
        <w:rPr>
          <w:color w:val="000000" w:themeColor="text1"/>
          <w:sz w:val="28"/>
        </w:rPr>
        <w:t>交国有资产与实验室管理处（</w:t>
      </w:r>
      <w:r>
        <w:rPr>
          <w:rFonts w:hint="eastAsia"/>
          <w:color w:val="000000" w:themeColor="text1"/>
          <w:sz w:val="28"/>
        </w:rPr>
        <w:t>招投标</w:t>
      </w:r>
      <w:r>
        <w:rPr>
          <w:color w:val="000000" w:themeColor="text1"/>
          <w:sz w:val="28"/>
        </w:rPr>
        <w:t>中心）</w:t>
      </w:r>
      <w:r>
        <w:rPr>
          <w:rFonts w:hint="eastAsia"/>
          <w:color w:val="000000" w:themeColor="text1"/>
          <w:sz w:val="28"/>
        </w:rPr>
        <w:t>，</w:t>
      </w:r>
      <w:r>
        <w:rPr>
          <w:color w:val="000000" w:themeColor="text1"/>
          <w:sz w:val="28"/>
        </w:rPr>
        <w:t>并</w:t>
      </w:r>
      <w:r>
        <w:rPr>
          <w:rFonts w:hint="eastAsia"/>
          <w:color w:val="000000" w:themeColor="text1"/>
          <w:sz w:val="28"/>
        </w:rPr>
        <w:t>标</w:t>
      </w:r>
      <w:r>
        <w:rPr>
          <w:color w:val="000000" w:themeColor="text1"/>
          <w:sz w:val="28"/>
        </w:rPr>
        <w:t>明公示期是否有异议</w:t>
      </w:r>
      <w:r>
        <w:rPr>
          <w:rFonts w:hint="eastAsia"/>
          <w:color w:val="000000" w:themeColor="text1"/>
          <w:sz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AD3E3"/>
    <w:multiLevelType w:val="singleLevel"/>
    <w:tmpl w:val="9FFAD3E3"/>
    <w:lvl w:ilvl="0" w:tentative="0">
      <w:start w:val="1"/>
      <w:numFmt w:val="decimal"/>
      <w:suff w:val="nothing"/>
      <w:lvlText w:val="（%1）"/>
      <w:lvlJc w:val="left"/>
      <w:pPr>
        <w:ind w:left="150"/>
      </w:pPr>
    </w:lvl>
  </w:abstractNum>
  <w:abstractNum w:abstractNumId="1">
    <w:nsid w:val="0070387C"/>
    <w:multiLevelType w:val="singleLevel"/>
    <w:tmpl w:val="0070387C"/>
    <w:lvl w:ilvl="0" w:tentative="0">
      <w:start w:val="4"/>
      <w:numFmt w:val="decimal"/>
      <w:suff w:val="nothing"/>
      <w:lvlText w:val="%1）"/>
      <w:lvlJc w:val="left"/>
    </w:lvl>
  </w:abstractNum>
  <w:abstractNum w:abstractNumId="2">
    <w:nsid w:val="06385519"/>
    <w:multiLevelType w:val="multilevel"/>
    <w:tmpl w:val="06385519"/>
    <w:lvl w:ilvl="0" w:tentative="0">
      <w:start w:val="1"/>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8CB53B3"/>
    <w:multiLevelType w:val="multilevel"/>
    <w:tmpl w:val="18CB53B3"/>
    <w:lvl w:ilvl="0" w:tentative="0">
      <w:start w:val="1"/>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283244C9"/>
    <w:multiLevelType w:val="multilevel"/>
    <w:tmpl w:val="283244C9"/>
    <w:lvl w:ilvl="0" w:tentative="0">
      <w:start w:val="1"/>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2CF4612B"/>
    <w:multiLevelType w:val="singleLevel"/>
    <w:tmpl w:val="2CF4612B"/>
    <w:lvl w:ilvl="0" w:tentative="0">
      <w:start w:val="1"/>
      <w:numFmt w:val="decimal"/>
      <w:suff w:val="nothing"/>
      <w:lvlText w:val="（%1）"/>
      <w:lvlJc w:val="left"/>
    </w:lvl>
  </w:abstractNum>
  <w:abstractNum w:abstractNumId="6">
    <w:nsid w:val="318FB960"/>
    <w:multiLevelType w:val="singleLevel"/>
    <w:tmpl w:val="318FB960"/>
    <w:lvl w:ilvl="0" w:tentative="0">
      <w:start w:val="10"/>
      <w:numFmt w:val="decimal"/>
      <w:suff w:val="nothing"/>
      <w:lvlText w:val="（%1）"/>
      <w:lvlJc w:val="left"/>
    </w:lvl>
  </w:abstractNum>
  <w:abstractNum w:abstractNumId="7">
    <w:nsid w:val="385F5089"/>
    <w:multiLevelType w:val="multilevel"/>
    <w:tmpl w:val="385F5089"/>
    <w:lvl w:ilvl="0" w:tentative="0">
      <w:start w:val="2"/>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549792A1"/>
    <w:multiLevelType w:val="singleLevel"/>
    <w:tmpl w:val="549792A1"/>
    <w:lvl w:ilvl="0" w:tentative="0">
      <w:start w:val="3"/>
      <w:numFmt w:val="decimal"/>
      <w:suff w:val="nothing"/>
      <w:lvlText w:val="（%1）"/>
      <w:lvlJc w:val="left"/>
    </w:lvl>
  </w:abstractNum>
  <w:abstractNum w:abstractNumId="9">
    <w:nsid w:val="66B90242"/>
    <w:multiLevelType w:val="multilevel"/>
    <w:tmpl w:val="66B90242"/>
    <w:lvl w:ilvl="0" w:tentative="0">
      <w:start w:val="3"/>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8"/>
  </w:num>
  <w:num w:numId="3">
    <w:abstractNumId w:val="6"/>
  </w:num>
  <w:num w:numId="4">
    <w:abstractNumId w:val="0"/>
  </w:num>
  <w:num w:numId="5">
    <w:abstractNumId w:val="5"/>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3MjUyMGU4MDQ2MWNmNDU5OWQ3ODQxYzZmZTczMmMifQ=="/>
  </w:docVars>
  <w:rsids>
    <w:rsidRoot w:val="00283798"/>
    <w:rsid w:val="00010572"/>
    <w:rsid w:val="00011223"/>
    <w:rsid w:val="00024107"/>
    <w:rsid w:val="00025CFC"/>
    <w:rsid w:val="00042998"/>
    <w:rsid w:val="000470FC"/>
    <w:rsid w:val="00060343"/>
    <w:rsid w:val="000A232A"/>
    <w:rsid w:val="000C7956"/>
    <w:rsid w:val="000E28DC"/>
    <w:rsid w:val="000F0B53"/>
    <w:rsid w:val="000F5D5D"/>
    <w:rsid w:val="0011018D"/>
    <w:rsid w:val="001144D0"/>
    <w:rsid w:val="00114706"/>
    <w:rsid w:val="001305B9"/>
    <w:rsid w:val="00154981"/>
    <w:rsid w:val="001751BA"/>
    <w:rsid w:val="00180F38"/>
    <w:rsid w:val="00186E4C"/>
    <w:rsid w:val="001912EC"/>
    <w:rsid w:val="001A73C3"/>
    <w:rsid w:val="001D2AA2"/>
    <w:rsid w:val="001D3A84"/>
    <w:rsid w:val="001E5DC3"/>
    <w:rsid w:val="001F6B82"/>
    <w:rsid w:val="00211355"/>
    <w:rsid w:val="00225791"/>
    <w:rsid w:val="00226CED"/>
    <w:rsid w:val="0024033D"/>
    <w:rsid w:val="002502DF"/>
    <w:rsid w:val="00256071"/>
    <w:rsid w:val="002749BF"/>
    <w:rsid w:val="00274A8F"/>
    <w:rsid w:val="00283798"/>
    <w:rsid w:val="002A0063"/>
    <w:rsid w:val="002B01DD"/>
    <w:rsid w:val="002F1523"/>
    <w:rsid w:val="00321DC7"/>
    <w:rsid w:val="00334BD1"/>
    <w:rsid w:val="0035375B"/>
    <w:rsid w:val="00375C98"/>
    <w:rsid w:val="003767FF"/>
    <w:rsid w:val="0039158C"/>
    <w:rsid w:val="003F417C"/>
    <w:rsid w:val="00420486"/>
    <w:rsid w:val="004421D4"/>
    <w:rsid w:val="0044357E"/>
    <w:rsid w:val="004479E5"/>
    <w:rsid w:val="00450FEF"/>
    <w:rsid w:val="004669AB"/>
    <w:rsid w:val="00481673"/>
    <w:rsid w:val="004B3497"/>
    <w:rsid w:val="004B491A"/>
    <w:rsid w:val="004E27E2"/>
    <w:rsid w:val="004E783D"/>
    <w:rsid w:val="004F1A9D"/>
    <w:rsid w:val="004F63F1"/>
    <w:rsid w:val="004F6840"/>
    <w:rsid w:val="005005DE"/>
    <w:rsid w:val="005054AE"/>
    <w:rsid w:val="00537661"/>
    <w:rsid w:val="0057272F"/>
    <w:rsid w:val="00581A28"/>
    <w:rsid w:val="005A5986"/>
    <w:rsid w:val="005B3E87"/>
    <w:rsid w:val="005E78B8"/>
    <w:rsid w:val="005E79E8"/>
    <w:rsid w:val="006269DA"/>
    <w:rsid w:val="006342A2"/>
    <w:rsid w:val="00676CC2"/>
    <w:rsid w:val="006874FB"/>
    <w:rsid w:val="0069459F"/>
    <w:rsid w:val="00694F1A"/>
    <w:rsid w:val="006F066B"/>
    <w:rsid w:val="006F3BE4"/>
    <w:rsid w:val="006F5DC0"/>
    <w:rsid w:val="007011DE"/>
    <w:rsid w:val="00734F56"/>
    <w:rsid w:val="00761E5F"/>
    <w:rsid w:val="00764016"/>
    <w:rsid w:val="007A2F18"/>
    <w:rsid w:val="007B2A0D"/>
    <w:rsid w:val="007C25E0"/>
    <w:rsid w:val="007C632E"/>
    <w:rsid w:val="007C64EB"/>
    <w:rsid w:val="007D5516"/>
    <w:rsid w:val="007E3D67"/>
    <w:rsid w:val="00804CA5"/>
    <w:rsid w:val="008070C7"/>
    <w:rsid w:val="008122BD"/>
    <w:rsid w:val="00842391"/>
    <w:rsid w:val="00845B14"/>
    <w:rsid w:val="0085483B"/>
    <w:rsid w:val="00861D71"/>
    <w:rsid w:val="00896E62"/>
    <w:rsid w:val="008B12AB"/>
    <w:rsid w:val="008B6EB5"/>
    <w:rsid w:val="00925F4C"/>
    <w:rsid w:val="00940DD5"/>
    <w:rsid w:val="00967EF2"/>
    <w:rsid w:val="00983957"/>
    <w:rsid w:val="00992DCF"/>
    <w:rsid w:val="009A4530"/>
    <w:rsid w:val="009B4396"/>
    <w:rsid w:val="009C70BC"/>
    <w:rsid w:val="009C766A"/>
    <w:rsid w:val="009D0EA3"/>
    <w:rsid w:val="009D6C38"/>
    <w:rsid w:val="009E286A"/>
    <w:rsid w:val="009E34C5"/>
    <w:rsid w:val="009E798A"/>
    <w:rsid w:val="009F76E1"/>
    <w:rsid w:val="00A11479"/>
    <w:rsid w:val="00A13945"/>
    <w:rsid w:val="00A245BE"/>
    <w:rsid w:val="00A363F4"/>
    <w:rsid w:val="00A667AB"/>
    <w:rsid w:val="00A80DA9"/>
    <w:rsid w:val="00A8291E"/>
    <w:rsid w:val="00A9628B"/>
    <w:rsid w:val="00AA250F"/>
    <w:rsid w:val="00AB037C"/>
    <w:rsid w:val="00AE04E7"/>
    <w:rsid w:val="00AE520F"/>
    <w:rsid w:val="00B00DFA"/>
    <w:rsid w:val="00B267AB"/>
    <w:rsid w:val="00B86371"/>
    <w:rsid w:val="00B97C64"/>
    <w:rsid w:val="00BC0C76"/>
    <w:rsid w:val="00BD56F8"/>
    <w:rsid w:val="00BE7CF1"/>
    <w:rsid w:val="00C0258D"/>
    <w:rsid w:val="00C12962"/>
    <w:rsid w:val="00C17923"/>
    <w:rsid w:val="00C23544"/>
    <w:rsid w:val="00C46F5F"/>
    <w:rsid w:val="00C61FC8"/>
    <w:rsid w:val="00C64E32"/>
    <w:rsid w:val="00C655D2"/>
    <w:rsid w:val="00C7057A"/>
    <w:rsid w:val="00C7621D"/>
    <w:rsid w:val="00CC0738"/>
    <w:rsid w:val="00CC5B84"/>
    <w:rsid w:val="00CD7CEC"/>
    <w:rsid w:val="00CE0987"/>
    <w:rsid w:val="00CE1A9B"/>
    <w:rsid w:val="00CE7E6C"/>
    <w:rsid w:val="00CF57AF"/>
    <w:rsid w:val="00CF5B86"/>
    <w:rsid w:val="00D004BF"/>
    <w:rsid w:val="00D05B16"/>
    <w:rsid w:val="00D43BF0"/>
    <w:rsid w:val="00D6387B"/>
    <w:rsid w:val="00D81FE3"/>
    <w:rsid w:val="00D96315"/>
    <w:rsid w:val="00DA64A4"/>
    <w:rsid w:val="00DC32F1"/>
    <w:rsid w:val="00DD5CF6"/>
    <w:rsid w:val="00DE13AA"/>
    <w:rsid w:val="00DE23D3"/>
    <w:rsid w:val="00DE6567"/>
    <w:rsid w:val="00DF66B1"/>
    <w:rsid w:val="00E37701"/>
    <w:rsid w:val="00E45D59"/>
    <w:rsid w:val="00E72FE3"/>
    <w:rsid w:val="00E81803"/>
    <w:rsid w:val="00E90945"/>
    <w:rsid w:val="00EA03B9"/>
    <w:rsid w:val="00EB2197"/>
    <w:rsid w:val="00EC4B2C"/>
    <w:rsid w:val="00ED3ADA"/>
    <w:rsid w:val="00ED4F88"/>
    <w:rsid w:val="00EF136E"/>
    <w:rsid w:val="00F039EF"/>
    <w:rsid w:val="00F04A5D"/>
    <w:rsid w:val="00F2213D"/>
    <w:rsid w:val="00F26391"/>
    <w:rsid w:val="00F35C89"/>
    <w:rsid w:val="00F451FA"/>
    <w:rsid w:val="00F5314D"/>
    <w:rsid w:val="00F95118"/>
    <w:rsid w:val="00FA11C4"/>
    <w:rsid w:val="00FA296F"/>
    <w:rsid w:val="00FA66E6"/>
    <w:rsid w:val="00FC22D1"/>
    <w:rsid w:val="00FF584F"/>
    <w:rsid w:val="018362EB"/>
    <w:rsid w:val="028D7421"/>
    <w:rsid w:val="02CB555D"/>
    <w:rsid w:val="03393105"/>
    <w:rsid w:val="03634626"/>
    <w:rsid w:val="04293179"/>
    <w:rsid w:val="042F11D5"/>
    <w:rsid w:val="042F62B6"/>
    <w:rsid w:val="046A5B6D"/>
    <w:rsid w:val="05A47AAF"/>
    <w:rsid w:val="05E76E48"/>
    <w:rsid w:val="06764670"/>
    <w:rsid w:val="069F45F1"/>
    <w:rsid w:val="06A81672"/>
    <w:rsid w:val="06AF21D5"/>
    <w:rsid w:val="06D8723B"/>
    <w:rsid w:val="070412B5"/>
    <w:rsid w:val="07131EBF"/>
    <w:rsid w:val="072B0FB7"/>
    <w:rsid w:val="07353036"/>
    <w:rsid w:val="07520C39"/>
    <w:rsid w:val="08152F34"/>
    <w:rsid w:val="08941EEC"/>
    <w:rsid w:val="089A4646"/>
    <w:rsid w:val="096B5FE2"/>
    <w:rsid w:val="099A0675"/>
    <w:rsid w:val="0A100914"/>
    <w:rsid w:val="0A110938"/>
    <w:rsid w:val="0A943317"/>
    <w:rsid w:val="0AF12BCF"/>
    <w:rsid w:val="0B00275A"/>
    <w:rsid w:val="0B5C3E34"/>
    <w:rsid w:val="0B770C84"/>
    <w:rsid w:val="0B8C1969"/>
    <w:rsid w:val="0C152235"/>
    <w:rsid w:val="0C35324F"/>
    <w:rsid w:val="0C727688"/>
    <w:rsid w:val="0CFF716D"/>
    <w:rsid w:val="0D841421"/>
    <w:rsid w:val="0DE61630"/>
    <w:rsid w:val="0E176739"/>
    <w:rsid w:val="0E4F7C80"/>
    <w:rsid w:val="0E8813E4"/>
    <w:rsid w:val="0F052A35"/>
    <w:rsid w:val="0F1011D6"/>
    <w:rsid w:val="0F977FCF"/>
    <w:rsid w:val="0FFA3C1C"/>
    <w:rsid w:val="10337E3C"/>
    <w:rsid w:val="10CC16D2"/>
    <w:rsid w:val="117143B2"/>
    <w:rsid w:val="11E36930"/>
    <w:rsid w:val="12024D08"/>
    <w:rsid w:val="128123D2"/>
    <w:rsid w:val="13E73EF9"/>
    <w:rsid w:val="14643D5A"/>
    <w:rsid w:val="147D74EC"/>
    <w:rsid w:val="14C33176"/>
    <w:rsid w:val="1596618A"/>
    <w:rsid w:val="15A24B3A"/>
    <w:rsid w:val="16473933"/>
    <w:rsid w:val="171E5118"/>
    <w:rsid w:val="172D2B29"/>
    <w:rsid w:val="17F03046"/>
    <w:rsid w:val="185540E5"/>
    <w:rsid w:val="189E6FDE"/>
    <w:rsid w:val="18D421D0"/>
    <w:rsid w:val="191A0AC5"/>
    <w:rsid w:val="196011FA"/>
    <w:rsid w:val="196B6F5D"/>
    <w:rsid w:val="1A27385F"/>
    <w:rsid w:val="1AA749A0"/>
    <w:rsid w:val="1BCE1AEE"/>
    <w:rsid w:val="1BD9502D"/>
    <w:rsid w:val="1C4A7CD9"/>
    <w:rsid w:val="1C7D00AF"/>
    <w:rsid w:val="1E871599"/>
    <w:rsid w:val="1FB918E9"/>
    <w:rsid w:val="1FCC3F24"/>
    <w:rsid w:val="1FD11A8A"/>
    <w:rsid w:val="20953D94"/>
    <w:rsid w:val="20AE5F64"/>
    <w:rsid w:val="20DA787C"/>
    <w:rsid w:val="21771570"/>
    <w:rsid w:val="219A2455"/>
    <w:rsid w:val="21B225A8"/>
    <w:rsid w:val="227C4DC1"/>
    <w:rsid w:val="227E248B"/>
    <w:rsid w:val="22C24A6D"/>
    <w:rsid w:val="23294DB1"/>
    <w:rsid w:val="23333275"/>
    <w:rsid w:val="233B7CFA"/>
    <w:rsid w:val="239B0E1A"/>
    <w:rsid w:val="23CB16FF"/>
    <w:rsid w:val="23F21382"/>
    <w:rsid w:val="248A7067"/>
    <w:rsid w:val="24973CD7"/>
    <w:rsid w:val="249D7540"/>
    <w:rsid w:val="24F5112A"/>
    <w:rsid w:val="25F91C22"/>
    <w:rsid w:val="265815B9"/>
    <w:rsid w:val="26706A6C"/>
    <w:rsid w:val="26887D7C"/>
    <w:rsid w:val="270F3FF9"/>
    <w:rsid w:val="27A72484"/>
    <w:rsid w:val="28445F24"/>
    <w:rsid w:val="28812CD5"/>
    <w:rsid w:val="28AC5FA3"/>
    <w:rsid w:val="28BE5CD7"/>
    <w:rsid w:val="28C25E2C"/>
    <w:rsid w:val="2A02620A"/>
    <w:rsid w:val="2B2B10ED"/>
    <w:rsid w:val="2C1F6A8C"/>
    <w:rsid w:val="2C6E624B"/>
    <w:rsid w:val="2CDF7FCA"/>
    <w:rsid w:val="2E0A551A"/>
    <w:rsid w:val="2E42125D"/>
    <w:rsid w:val="2E492020"/>
    <w:rsid w:val="2EEB70FA"/>
    <w:rsid w:val="2F012479"/>
    <w:rsid w:val="2FBA4F71"/>
    <w:rsid w:val="3029060B"/>
    <w:rsid w:val="3042001E"/>
    <w:rsid w:val="30B51781"/>
    <w:rsid w:val="32411CAD"/>
    <w:rsid w:val="33C65A3F"/>
    <w:rsid w:val="33DB0C64"/>
    <w:rsid w:val="34E16FD5"/>
    <w:rsid w:val="35B36039"/>
    <w:rsid w:val="36516013"/>
    <w:rsid w:val="36EE59D9"/>
    <w:rsid w:val="37996E16"/>
    <w:rsid w:val="38023F5C"/>
    <w:rsid w:val="381051E0"/>
    <w:rsid w:val="38397128"/>
    <w:rsid w:val="38797B60"/>
    <w:rsid w:val="38854920"/>
    <w:rsid w:val="399D7242"/>
    <w:rsid w:val="3AEE22E7"/>
    <w:rsid w:val="3B20637D"/>
    <w:rsid w:val="3B2C087E"/>
    <w:rsid w:val="3B4E689C"/>
    <w:rsid w:val="3BBE5F43"/>
    <w:rsid w:val="3BE63123"/>
    <w:rsid w:val="3BEB698B"/>
    <w:rsid w:val="3C0E17FD"/>
    <w:rsid w:val="3C4A500F"/>
    <w:rsid w:val="3CC92A05"/>
    <w:rsid w:val="3F087854"/>
    <w:rsid w:val="40640ABA"/>
    <w:rsid w:val="40734BA6"/>
    <w:rsid w:val="410F4ECA"/>
    <w:rsid w:val="42134546"/>
    <w:rsid w:val="42725302"/>
    <w:rsid w:val="43122677"/>
    <w:rsid w:val="43430E5B"/>
    <w:rsid w:val="446217B4"/>
    <w:rsid w:val="452667F2"/>
    <w:rsid w:val="45482758"/>
    <w:rsid w:val="454C56D7"/>
    <w:rsid w:val="455A248C"/>
    <w:rsid w:val="46000306"/>
    <w:rsid w:val="466D7E01"/>
    <w:rsid w:val="467B0262"/>
    <w:rsid w:val="469C3FEF"/>
    <w:rsid w:val="472D42FC"/>
    <w:rsid w:val="478D19A2"/>
    <w:rsid w:val="47CB553F"/>
    <w:rsid w:val="480F755D"/>
    <w:rsid w:val="489B7043"/>
    <w:rsid w:val="490A5B21"/>
    <w:rsid w:val="49122B6B"/>
    <w:rsid w:val="494D658F"/>
    <w:rsid w:val="49523BA5"/>
    <w:rsid w:val="49885819"/>
    <w:rsid w:val="499E328F"/>
    <w:rsid w:val="49B453F3"/>
    <w:rsid w:val="49F27137"/>
    <w:rsid w:val="4A630E0F"/>
    <w:rsid w:val="4A9B1101"/>
    <w:rsid w:val="4B381626"/>
    <w:rsid w:val="4BB5041C"/>
    <w:rsid w:val="4C341C88"/>
    <w:rsid w:val="4C503993"/>
    <w:rsid w:val="4C6753F2"/>
    <w:rsid w:val="4CCC0113"/>
    <w:rsid w:val="4D495C8D"/>
    <w:rsid w:val="4D4F3027"/>
    <w:rsid w:val="4D65200F"/>
    <w:rsid w:val="4F85786B"/>
    <w:rsid w:val="4FA46C00"/>
    <w:rsid w:val="51707EB2"/>
    <w:rsid w:val="51A76A58"/>
    <w:rsid w:val="51D96AA0"/>
    <w:rsid w:val="523A167B"/>
    <w:rsid w:val="524A73EC"/>
    <w:rsid w:val="52846D9A"/>
    <w:rsid w:val="53781D13"/>
    <w:rsid w:val="53AE4CAB"/>
    <w:rsid w:val="54372316"/>
    <w:rsid w:val="54694499"/>
    <w:rsid w:val="548D0188"/>
    <w:rsid w:val="55124B31"/>
    <w:rsid w:val="5596306C"/>
    <w:rsid w:val="55E71B19"/>
    <w:rsid w:val="56101068"/>
    <w:rsid w:val="56B23ED5"/>
    <w:rsid w:val="574A0D3C"/>
    <w:rsid w:val="584C49FD"/>
    <w:rsid w:val="58C6010C"/>
    <w:rsid w:val="58F63137"/>
    <w:rsid w:val="592A1211"/>
    <w:rsid w:val="59AB2010"/>
    <w:rsid w:val="59BB7545"/>
    <w:rsid w:val="5AAE1F98"/>
    <w:rsid w:val="5B42334E"/>
    <w:rsid w:val="5BF37041"/>
    <w:rsid w:val="5BFE5E0F"/>
    <w:rsid w:val="5C4479EC"/>
    <w:rsid w:val="5D156F6C"/>
    <w:rsid w:val="5DAF5613"/>
    <w:rsid w:val="5E110CD3"/>
    <w:rsid w:val="5E9B2C55"/>
    <w:rsid w:val="5EAE4134"/>
    <w:rsid w:val="5ED43BEF"/>
    <w:rsid w:val="5EDE4B23"/>
    <w:rsid w:val="5F385194"/>
    <w:rsid w:val="6022562C"/>
    <w:rsid w:val="60E5134B"/>
    <w:rsid w:val="61693D2A"/>
    <w:rsid w:val="6271733B"/>
    <w:rsid w:val="628A21AA"/>
    <w:rsid w:val="62917095"/>
    <w:rsid w:val="62944DD7"/>
    <w:rsid w:val="62C34CA8"/>
    <w:rsid w:val="62C531E2"/>
    <w:rsid w:val="62E8291D"/>
    <w:rsid w:val="63365E8E"/>
    <w:rsid w:val="63671B4A"/>
    <w:rsid w:val="639A01CB"/>
    <w:rsid w:val="63F26259"/>
    <w:rsid w:val="63F33818"/>
    <w:rsid w:val="64A10358"/>
    <w:rsid w:val="65960E66"/>
    <w:rsid w:val="659A2793"/>
    <w:rsid w:val="66A001EE"/>
    <w:rsid w:val="66A55805"/>
    <w:rsid w:val="671B1623"/>
    <w:rsid w:val="672524A2"/>
    <w:rsid w:val="683E494A"/>
    <w:rsid w:val="68541818"/>
    <w:rsid w:val="685A43CD"/>
    <w:rsid w:val="69364BDE"/>
    <w:rsid w:val="69586B5E"/>
    <w:rsid w:val="69695723"/>
    <w:rsid w:val="6A1865D6"/>
    <w:rsid w:val="6A6F2322"/>
    <w:rsid w:val="6AD94CA4"/>
    <w:rsid w:val="6AEF34F2"/>
    <w:rsid w:val="6BE02E3B"/>
    <w:rsid w:val="6C6770B8"/>
    <w:rsid w:val="6C7812C6"/>
    <w:rsid w:val="6CBC1DE1"/>
    <w:rsid w:val="6CE65781"/>
    <w:rsid w:val="6CFC3CA5"/>
    <w:rsid w:val="6D266F73"/>
    <w:rsid w:val="6D8A0652"/>
    <w:rsid w:val="6E8B43B1"/>
    <w:rsid w:val="6EE50E19"/>
    <w:rsid w:val="6F1C09DC"/>
    <w:rsid w:val="6FA0300D"/>
    <w:rsid w:val="6FA47CE9"/>
    <w:rsid w:val="7053007F"/>
    <w:rsid w:val="706D7D1B"/>
    <w:rsid w:val="7122185E"/>
    <w:rsid w:val="71632544"/>
    <w:rsid w:val="7399049F"/>
    <w:rsid w:val="73CF5C6F"/>
    <w:rsid w:val="741B5358"/>
    <w:rsid w:val="74604B19"/>
    <w:rsid w:val="747B04C1"/>
    <w:rsid w:val="749A44CF"/>
    <w:rsid w:val="758D7B90"/>
    <w:rsid w:val="75AD0232"/>
    <w:rsid w:val="75CD321A"/>
    <w:rsid w:val="75E42B97"/>
    <w:rsid w:val="76342701"/>
    <w:rsid w:val="7645320A"/>
    <w:rsid w:val="76FA2F72"/>
    <w:rsid w:val="774D1CF0"/>
    <w:rsid w:val="77972F48"/>
    <w:rsid w:val="784144A5"/>
    <w:rsid w:val="7879770C"/>
    <w:rsid w:val="789867C5"/>
    <w:rsid w:val="792425B9"/>
    <w:rsid w:val="79BD656A"/>
    <w:rsid w:val="7A0E547F"/>
    <w:rsid w:val="7B7A0BB6"/>
    <w:rsid w:val="7B7A2964"/>
    <w:rsid w:val="7C044D6A"/>
    <w:rsid w:val="7C0F3CB3"/>
    <w:rsid w:val="7C122100"/>
    <w:rsid w:val="7C151EAF"/>
    <w:rsid w:val="7CA12173"/>
    <w:rsid w:val="7D9500AC"/>
    <w:rsid w:val="7E530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5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5"/>
    <w:basedOn w:val="1"/>
    <w:next w:val="1"/>
    <w:link w:val="1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7">
    <w:name w:val="Normal Indent"/>
    <w:basedOn w:val="1"/>
    <w:qFormat/>
    <w:uiPriority w:val="0"/>
    <w:pPr>
      <w:ind w:firstLine="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标题 1 Char"/>
    <w:basedOn w:val="13"/>
    <w:link w:val="3"/>
    <w:qFormat/>
    <w:uiPriority w:val="9"/>
    <w:rPr>
      <w:rFonts w:ascii="宋体" w:hAnsi="宋体" w:eastAsia="宋体" w:cs="宋体"/>
      <w:b/>
      <w:bCs/>
      <w:kern w:val="36"/>
      <w:sz w:val="48"/>
      <w:szCs w:val="48"/>
    </w:rPr>
  </w:style>
  <w:style w:type="character" w:customStyle="1" w:styleId="18">
    <w:name w:val="标题 3 Char"/>
    <w:basedOn w:val="13"/>
    <w:link w:val="5"/>
    <w:qFormat/>
    <w:uiPriority w:val="9"/>
    <w:rPr>
      <w:rFonts w:ascii="宋体" w:hAnsi="宋体" w:eastAsia="宋体" w:cs="宋体"/>
      <w:b/>
      <w:bCs/>
      <w:kern w:val="0"/>
      <w:sz w:val="27"/>
      <w:szCs w:val="27"/>
    </w:rPr>
  </w:style>
  <w:style w:type="character" w:customStyle="1" w:styleId="19">
    <w:name w:val="标题 5 Char"/>
    <w:basedOn w:val="13"/>
    <w:link w:val="6"/>
    <w:qFormat/>
    <w:uiPriority w:val="9"/>
    <w:rPr>
      <w:rFonts w:ascii="宋体" w:hAnsi="宋体" w:eastAsia="宋体" w:cs="宋体"/>
      <w:b/>
      <w:bCs/>
      <w:kern w:val="0"/>
      <w:sz w:val="20"/>
      <w:szCs w:val="20"/>
    </w:rPr>
  </w:style>
  <w:style w:type="character" w:customStyle="1" w:styleId="20">
    <w:name w:val="population-ceilingprice"/>
    <w:basedOn w:val="13"/>
    <w:qFormat/>
    <w:uiPriority w:val="0"/>
  </w:style>
  <w:style w:type="character" w:customStyle="1" w:styleId="21">
    <w:name w:val="population-projectoverview"/>
    <w:basedOn w:val="13"/>
    <w:qFormat/>
    <w:uiPriority w:val="0"/>
  </w:style>
  <w:style w:type="character" w:customStyle="1" w:styleId="22">
    <w:name w:val="population-hassupplier"/>
    <w:basedOn w:val="13"/>
    <w:qFormat/>
    <w:uiPriority w:val="0"/>
  </w:style>
  <w:style w:type="character" w:customStyle="1" w:styleId="23">
    <w:name w:val="investigation-researchstatus"/>
    <w:basedOn w:val="13"/>
    <w:qFormat/>
    <w:uiPriority w:val="0"/>
  </w:style>
  <w:style w:type="character" w:customStyle="1" w:styleId="24">
    <w:name w:val="implementation-kind"/>
    <w:basedOn w:val="13"/>
    <w:qFormat/>
    <w:uiPriority w:val="0"/>
  </w:style>
  <w:style w:type="character" w:customStyle="1" w:styleId="25">
    <w:name w:val="implementation-purmethod"/>
    <w:basedOn w:val="13"/>
    <w:qFormat/>
    <w:uiPriority w:val="0"/>
  </w:style>
  <w:style w:type="character" w:customStyle="1" w:styleId="26">
    <w:name w:val="implementation-subcontracttotal"/>
    <w:basedOn w:val="13"/>
    <w:qFormat/>
    <w:uiPriority w:val="0"/>
  </w:style>
  <w:style w:type="character" w:customStyle="1" w:styleId="27">
    <w:name w:val="implementation-reservestatus"/>
    <w:basedOn w:val="13"/>
    <w:qFormat/>
    <w:uiPriority w:val="0"/>
  </w:style>
  <w:style w:type="character" w:customStyle="1" w:styleId="28">
    <w:name w:val="implementation-govservice"/>
    <w:basedOn w:val="13"/>
    <w:qFormat/>
    <w:uiPriority w:val="0"/>
  </w:style>
  <w:style w:type="character" w:customStyle="1" w:styleId="29">
    <w:name w:val="implementation-govinfomationstatus"/>
    <w:basedOn w:val="13"/>
    <w:qFormat/>
    <w:uiPriority w:val="0"/>
  </w:style>
  <w:style w:type="character" w:customStyle="1" w:styleId="30">
    <w:name w:val="implementation-sciencestatus"/>
    <w:basedOn w:val="13"/>
    <w:qFormat/>
    <w:uiPriority w:val="0"/>
  </w:style>
  <w:style w:type="character" w:customStyle="1" w:styleId="31">
    <w:name w:val="implementation-pppstatus"/>
    <w:basedOn w:val="13"/>
    <w:qFormat/>
    <w:uiPriority w:val="0"/>
  </w:style>
  <w:style w:type="character" w:customStyle="1" w:styleId="32">
    <w:name w:val="subcontract-legalcontracttype"/>
    <w:basedOn w:val="13"/>
    <w:qFormat/>
    <w:uiPriority w:val="0"/>
  </w:style>
  <w:style w:type="character" w:customStyle="1" w:styleId="33">
    <w:name w:val="subcontract-performperiod"/>
    <w:basedOn w:val="13"/>
    <w:qFormat/>
    <w:uiPriority w:val="0"/>
  </w:style>
  <w:style w:type="character" w:customStyle="1" w:styleId="34">
    <w:name w:val="subcontract-performaddress"/>
    <w:basedOn w:val="13"/>
    <w:qFormat/>
    <w:uiPriority w:val="0"/>
  </w:style>
  <w:style w:type="character" w:customStyle="1" w:styleId="35">
    <w:name w:val="subcontract-contractpaytype"/>
    <w:basedOn w:val="13"/>
    <w:qFormat/>
    <w:uiPriority w:val="0"/>
  </w:style>
  <w:style w:type="character" w:customStyle="1" w:styleId="36">
    <w:name w:val="subcontract-deliverystandard"/>
    <w:basedOn w:val="13"/>
    <w:qFormat/>
    <w:uiPriority w:val="0"/>
  </w:style>
  <w:style w:type="character" w:customStyle="1" w:styleId="37">
    <w:name w:val="subcontract-maintenance"/>
    <w:basedOn w:val="13"/>
    <w:qFormat/>
    <w:uiPriority w:val="0"/>
  </w:style>
  <w:style w:type="character" w:customStyle="1" w:styleId="38">
    <w:name w:val="subcontract-intellectualproperty"/>
    <w:basedOn w:val="13"/>
    <w:qFormat/>
    <w:uiPriority w:val="0"/>
  </w:style>
  <w:style w:type="character" w:customStyle="1" w:styleId="39">
    <w:name w:val="subcontract-risksharing"/>
    <w:basedOn w:val="13"/>
    <w:qFormat/>
    <w:uiPriority w:val="0"/>
  </w:style>
  <w:style w:type="character" w:customStyle="1" w:styleId="40">
    <w:name w:val="subcontract-disputeresolution"/>
    <w:basedOn w:val="13"/>
    <w:qFormat/>
    <w:uiPriority w:val="0"/>
  </w:style>
  <w:style w:type="character" w:customStyle="1" w:styleId="41">
    <w:name w:val="subcontract-otherterms"/>
    <w:basedOn w:val="13"/>
    <w:qFormat/>
    <w:uiPriority w:val="0"/>
  </w:style>
  <w:style w:type="character" w:customStyle="1" w:styleId="42">
    <w:name w:val="subcontract-acceptancetype"/>
    <w:basedOn w:val="13"/>
    <w:qFormat/>
    <w:uiPriority w:val="0"/>
  </w:style>
  <w:style w:type="character" w:customStyle="1" w:styleId="43">
    <w:name w:val="subcontract-invitesupplierstatus"/>
    <w:basedOn w:val="13"/>
    <w:qFormat/>
    <w:uiPriority w:val="0"/>
  </w:style>
  <w:style w:type="character" w:customStyle="1" w:styleId="44">
    <w:name w:val="subcontract-inviteexpertstatus"/>
    <w:basedOn w:val="13"/>
    <w:qFormat/>
    <w:uiPriority w:val="0"/>
  </w:style>
  <w:style w:type="character" w:customStyle="1" w:styleId="45">
    <w:name w:val="subcontract-inviteserviceobjectstatus"/>
    <w:basedOn w:val="13"/>
    <w:qFormat/>
    <w:uiPriority w:val="0"/>
  </w:style>
  <w:style w:type="character" w:customStyle="1" w:styleId="46">
    <w:name w:val="subcontract-professionaldetectionstatus"/>
    <w:basedOn w:val="13"/>
    <w:qFormat/>
    <w:uiPriority w:val="0"/>
  </w:style>
  <w:style w:type="character" w:customStyle="1" w:styleId="47">
    <w:name w:val="subcontract-acceptanceprocesstype"/>
    <w:basedOn w:val="13"/>
    <w:qFormat/>
    <w:uiPriority w:val="0"/>
  </w:style>
  <w:style w:type="character" w:customStyle="1" w:styleId="48">
    <w:name w:val="subcontract-acceptancemethod"/>
    <w:basedOn w:val="13"/>
    <w:qFormat/>
    <w:uiPriority w:val="0"/>
  </w:style>
  <w:style w:type="character" w:customStyle="1" w:styleId="49">
    <w:name w:val="subcontract-otherpreparations"/>
    <w:basedOn w:val="13"/>
    <w:qFormat/>
    <w:uiPriority w:val="0"/>
  </w:style>
  <w:style w:type="character" w:customStyle="1" w:styleId="50">
    <w:name w:val="subcontract-goodscontent"/>
    <w:basedOn w:val="13"/>
    <w:qFormat/>
    <w:uiPriority w:val="0"/>
  </w:style>
  <w:style w:type="character" w:customStyle="1" w:styleId="51">
    <w:name w:val="subcontract-businesscontent"/>
    <w:basedOn w:val="13"/>
    <w:qFormat/>
    <w:uiPriority w:val="0"/>
  </w:style>
  <w:style w:type="character" w:customStyle="1" w:styleId="52">
    <w:name w:val="subcontract-acceptancecriteria"/>
    <w:basedOn w:val="13"/>
    <w:qFormat/>
    <w:uiPriority w:val="0"/>
  </w:style>
  <w:style w:type="character" w:customStyle="1" w:styleId="53">
    <w:name w:val="subcontract-othercontent"/>
    <w:basedOn w:val="13"/>
    <w:qFormat/>
    <w:uiPriority w:val="0"/>
  </w:style>
  <w:style w:type="character" w:customStyle="1" w:styleId="54">
    <w:name w:val="risk-riskresponse"/>
    <w:basedOn w:val="13"/>
    <w:qFormat/>
    <w:uiPriority w:val="0"/>
  </w:style>
  <w:style w:type="paragraph" w:styleId="55">
    <w:name w:val="List Paragraph"/>
    <w:basedOn w:val="1"/>
    <w:qFormat/>
    <w:uiPriority w:val="34"/>
    <w:pPr>
      <w:ind w:firstLine="420" w:firstLineChars="200"/>
    </w:pPr>
  </w:style>
  <w:style w:type="character" w:customStyle="1" w:styleId="56">
    <w:name w:val="标题 2 Char"/>
    <w:basedOn w:val="13"/>
    <w:link w:val="4"/>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3977</Words>
  <Characters>4048</Characters>
  <Lines>188</Lines>
  <Paragraphs>53</Paragraphs>
  <TotalTime>27</TotalTime>
  <ScaleCrop>false</ScaleCrop>
  <LinksUpToDate>false</LinksUpToDate>
  <CharactersWithSpaces>4133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2022-04-28T03:06:00Z</dcterms:created>
  <dc:creator>张灵峻</dc:creator>
  <cp:lastModifiedBy>喻华</cp:lastModifiedBy>
  <dcterms:modified xsi:type="dcterms:W3CDTF">2025-03-21T07:32:05Z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eyJoZGlkIjoiYWI3MjUyMGU4MDQ2MWNmNDU5OWQ3ODQxYzZmZTczMmMifQ==</vt:lpwstr>
  </property>
  <property fmtid="{D5CDD505-2E9C-101B-9397-08002B2CF9AE}" pid="3" name="KSOProductBuildVer">
    <vt:lpwstr>2052-12.1.0.20305</vt:lpwstr>
  </property>
  <property fmtid="{D5CDD505-2E9C-101B-9397-08002B2CF9AE}" pid="4" name="ICV">
    <vt:lpwstr>229C4E10E73844ECB016A9005B5314DD</vt:lpwstr>
  </property>
  <property fmtid="{D5CDD505-2E9C-101B-9397-08002B2CF9AE}" pid="5" name="KSOTemplateDocerSaveRecord">
    <vt:lpwstr>eyJoZGlkIjoiZWY3MjkyN2RhNTE1Yjk5ZWI5N2Y3M2I5ZjJmNzE5MWMiLCJ1c2VySWQiOiIxNjgzNzY2NDQzIn0=</vt:lpwstr>
  </property>
</Properties>
</file>