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F1F8D">
      <w:pPr>
        <w:spacing w:line="360" w:lineRule="auto"/>
        <w:ind w:firstLine="643" w:firstLineChars="200"/>
        <w:jc w:val="center"/>
        <w:rPr>
          <w:rFonts w:hint="eastAsia" w:ascii="仿宋" w:hAnsi="仿宋" w:eastAsia="仿宋" w:cs="仿宋"/>
          <w:b/>
          <w:sz w:val="32"/>
          <w:szCs w:val="36"/>
          <w:lang w:val="en-US" w:eastAsia="zh-CN"/>
        </w:rPr>
      </w:pPr>
      <w:bookmarkStart w:id="0" w:name="_GoBack"/>
      <w:r>
        <w:rPr>
          <w:rFonts w:hint="eastAsia" w:ascii="仿宋" w:hAnsi="仿宋" w:eastAsia="仿宋" w:cs="仿宋"/>
          <w:b/>
          <w:sz w:val="32"/>
          <w:szCs w:val="36"/>
        </w:rPr>
        <w:fldChar w:fldCharType="begin"/>
      </w:r>
      <w:r>
        <w:rPr>
          <w:rFonts w:hint="eastAsia" w:ascii="仿宋" w:hAnsi="仿宋" w:eastAsia="仿宋" w:cs="仿宋"/>
          <w:b/>
          <w:sz w:val="32"/>
          <w:szCs w:val="36"/>
        </w:rPr>
        <w:instrText xml:space="preserve"> HYPERLINK "https://czpt.xhu.edu.cn/sfw/e?page=base.task.detail&amp;bpmNo=2403170013" \t "https://czpt.xhu.edu.cn/sfw/_blank" </w:instrText>
      </w:r>
      <w:r>
        <w:rPr>
          <w:rFonts w:hint="eastAsia" w:ascii="仿宋" w:hAnsi="仿宋" w:eastAsia="仿宋" w:cs="仿宋"/>
          <w:b/>
          <w:sz w:val="32"/>
          <w:szCs w:val="36"/>
        </w:rPr>
        <w:fldChar w:fldCharType="separate"/>
      </w:r>
      <w:r>
        <w:rPr>
          <w:rFonts w:hint="eastAsia" w:ascii="仿宋" w:hAnsi="仿宋" w:eastAsia="仿宋" w:cs="仿宋"/>
          <w:b/>
          <w:sz w:val="32"/>
          <w:szCs w:val="36"/>
        </w:rPr>
        <w:t>西华大学2024年后勤总公司专用设备采购</w:t>
      </w:r>
      <w:r>
        <w:rPr>
          <w:rFonts w:hint="eastAsia" w:ascii="仿宋" w:hAnsi="仿宋" w:eastAsia="仿宋" w:cs="仿宋"/>
          <w:b/>
          <w:sz w:val="32"/>
          <w:szCs w:val="36"/>
        </w:rPr>
        <w:fldChar w:fldCharType="end"/>
      </w:r>
      <w:r>
        <w:rPr>
          <w:rFonts w:hint="eastAsia" w:ascii="仿宋" w:hAnsi="仿宋" w:eastAsia="仿宋" w:cs="仿宋"/>
          <w:b/>
          <w:sz w:val="32"/>
          <w:szCs w:val="36"/>
          <w:lang w:val="en-US" w:eastAsia="zh-CN"/>
        </w:rPr>
        <w:t>项目</w:t>
      </w:r>
    </w:p>
    <w:p w14:paraId="0A83EAEB">
      <w:pPr>
        <w:spacing w:line="360" w:lineRule="auto"/>
        <w:ind w:firstLine="643" w:firstLineChars="200"/>
        <w:jc w:val="center"/>
        <w:rPr>
          <w:rFonts w:hint="default" w:ascii="仿宋" w:hAnsi="仿宋" w:eastAsia="仿宋" w:cs="仿宋"/>
          <w:b/>
          <w:sz w:val="32"/>
          <w:szCs w:val="36"/>
          <w:lang w:val="en-US" w:eastAsia="zh-CN"/>
        </w:rPr>
      </w:pPr>
      <w:r>
        <w:rPr>
          <w:rFonts w:hint="eastAsia" w:ascii="仿宋" w:hAnsi="仿宋" w:eastAsia="仿宋" w:cs="仿宋"/>
          <w:b/>
          <w:sz w:val="32"/>
          <w:szCs w:val="36"/>
          <w:lang w:val="en-US" w:eastAsia="zh-CN"/>
        </w:rPr>
        <w:t>需求文件</w:t>
      </w:r>
    </w:p>
    <w:bookmarkEnd w:id="0"/>
    <w:p w14:paraId="17A4581F">
      <w:pPr>
        <w:spacing w:line="360" w:lineRule="auto"/>
        <w:ind w:firstLine="562" w:firstLineChars="200"/>
        <w:rPr>
          <w:rFonts w:hint="eastAsia" w:ascii="仿宋" w:hAnsi="仿宋" w:eastAsia="仿宋" w:cs="仿宋"/>
          <w:b/>
        </w:rPr>
      </w:pPr>
      <w:r>
        <w:rPr>
          <w:rFonts w:hint="eastAsia" w:ascii="仿宋" w:hAnsi="仿宋" w:eastAsia="仿宋" w:cs="仿宋"/>
          <w:b/>
          <w:sz w:val="28"/>
          <w:szCs w:val="32"/>
        </w:rPr>
        <w:t>一、项目概况</w:t>
      </w:r>
      <w:r>
        <w:rPr>
          <w:rFonts w:hint="eastAsia" w:ascii="仿宋" w:hAnsi="仿宋" w:eastAsia="仿宋" w:cs="仿宋"/>
          <w:b/>
        </w:rPr>
        <w:t xml:space="preserve">  </w:t>
      </w:r>
    </w:p>
    <w:p w14:paraId="6465A4AD">
      <w:pPr>
        <w:numPr>
          <w:ilvl w:val="0"/>
          <w:numId w:val="0"/>
        </w:numPr>
        <w:adjustRightInd w:val="0"/>
        <w:snapToGrid w:val="0"/>
        <w:spacing w:line="5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2024年学校为确保后勤民生工程，提高西华大学后勤服务总公司的后勤服务能力，计划56万元专项资金用于购买食堂专用设备、其他后勤专用设备。</w:t>
      </w:r>
      <w:r>
        <w:rPr>
          <w:rFonts w:hint="eastAsia" w:ascii="仿宋" w:hAnsi="仿宋" w:eastAsia="仿宋" w:cs="仿宋"/>
          <w:sz w:val="24"/>
          <w:szCs w:val="24"/>
          <w:lang w:eastAsia="zh-CN"/>
        </w:rPr>
        <w:t>对部分旧设备进行更换，以完善我校相关办学及</w:t>
      </w:r>
      <w:r>
        <w:rPr>
          <w:rFonts w:hint="eastAsia" w:ascii="仿宋" w:hAnsi="仿宋" w:eastAsia="仿宋" w:cs="仿宋"/>
          <w:sz w:val="24"/>
          <w:szCs w:val="24"/>
          <w:lang w:val="en-US" w:eastAsia="zh-CN"/>
        </w:rPr>
        <w:t>后勤</w:t>
      </w:r>
      <w:r>
        <w:rPr>
          <w:rFonts w:hint="eastAsia" w:ascii="仿宋" w:hAnsi="仿宋" w:eastAsia="仿宋" w:cs="仿宋"/>
          <w:sz w:val="24"/>
          <w:szCs w:val="24"/>
          <w:lang w:eastAsia="zh-CN"/>
        </w:rPr>
        <w:t>服务条件，提高工作效率，为学校教学科研提供更优质的</w:t>
      </w:r>
      <w:r>
        <w:rPr>
          <w:rFonts w:hint="eastAsia" w:ascii="仿宋" w:hAnsi="仿宋" w:eastAsia="仿宋" w:cs="仿宋"/>
          <w:sz w:val="24"/>
          <w:szCs w:val="24"/>
          <w:lang w:val="en-US" w:eastAsia="zh-CN"/>
        </w:rPr>
        <w:t>后勤</w:t>
      </w:r>
      <w:r>
        <w:rPr>
          <w:rFonts w:hint="eastAsia" w:ascii="仿宋" w:hAnsi="仿宋" w:eastAsia="仿宋" w:cs="仿宋"/>
          <w:sz w:val="24"/>
          <w:szCs w:val="24"/>
          <w:lang w:eastAsia="zh-CN"/>
        </w:rPr>
        <w:t xml:space="preserve">服务。 </w:t>
      </w:r>
    </w:p>
    <w:p w14:paraId="1E1FFFD8">
      <w:pPr>
        <w:spacing w:line="360" w:lineRule="auto"/>
        <w:ind w:firstLine="281" w:firstLineChars="100"/>
        <w:rPr>
          <w:rFonts w:hint="eastAsia" w:ascii="仿宋" w:hAnsi="仿宋" w:eastAsia="仿宋" w:cs="仿宋"/>
          <w:b/>
          <w:sz w:val="28"/>
          <w:szCs w:val="32"/>
        </w:rPr>
      </w:pPr>
      <w:r>
        <w:rPr>
          <w:rFonts w:hint="eastAsia" w:ascii="仿宋" w:hAnsi="仿宋" w:eastAsia="仿宋" w:cs="仿宋"/>
          <w:b/>
          <w:sz w:val="28"/>
          <w:szCs w:val="32"/>
        </w:rPr>
        <w:t>二、投标供应商的资格要求</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7"/>
        <w:gridCol w:w="1969"/>
        <w:gridCol w:w="5604"/>
      </w:tblGrid>
      <w:tr w14:paraId="7092CB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7" w:hRule="atLeast"/>
          <w:tblHeader/>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56904102">
            <w:pPr>
              <w:rPr>
                <w:rFonts w:hint="eastAsia" w:ascii="仿宋" w:hAnsi="仿宋" w:eastAsia="仿宋" w:cs="仿宋"/>
              </w:rPr>
            </w:pPr>
            <w:r>
              <w:rPr>
                <w:rFonts w:hint="eastAsia" w:ascii="仿宋" w:hAnsi="仿宋" w:eastAsia="仿宋" w:cs="仿宋"/>
              </w:rPr>
              <w:t>序号</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52911787">
            <w:pPr>
              <w:rPr>
                <w:rFonts w:hint="eastAsia" w:ascii="仿宋" w:hAnsi="仿宋" w:eastAsia="仿宋" w:cs="仿宋"/>
              </w:rPr>
            </w:pPr>
            <w:r>
              <w:rPr>
                <w:rFonts w:hint="eastAsia" w:ascii="仿宋" w:hAnsi="仿宋" w:eastAsia="仿宋" w:cs="仿宋"/>
              </w:rPr>
              <w:t>资格要求名称</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0641DA3A">
            <w:pPr>
              <w:rPr>
                <w:rFonts w:hint="eastAsia" w:ascii="仿宋" w:hAnsi="仿宋" w:eastAsia="仿宋" w:cs="仿宋"/>
              </w:rPr>
            </w:pPr>
            <w:r>
              <w:rPr>
                <w:rFonts w:hint="eastAsia" w:ascii="仿宋" w:hAnsi="仿宋" w:eastAsia="仿宋" w:cs="仿宋"/>
              </w:rPr>
              <w:t>资格要求详细说明</w:t>
            </w:r>
          </w:p>
        </w:tc>
      </w:tr>
      <w:tr w14:paraId="6A5D33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05"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1D1A6A22">
            <w:pPr>
              <w:jc w:val="center"/>
              <w:rPr>
                <w:rFonts w:hint="eastAsia" w:ascii="仿宋" w:hAnsi="仿宋" w:eastAsia="仿宋" w:cs="仿宋"/>
              </w:rPr>
            </w:pPr>
            <w:r>
              <w:rPr>
                <w:rFonts w:hint="eastAsia" w:ascii="仿宋" w:hAnsi="仿宋" w:eastAsia="仿宋" w:cs="仿宋"/>
              </w:rPr>
              <w:t>1</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13AD7443">
            <w:pPr>
              <w:rPr>
                <w:rFonts w:hint="eastAsia" w:ascii="仿宋" w:hAnsi="仿宋" w:eastAsia="仿宋" w:cs="仿宋"/>
              </w:rPr>
            </w:pPr>
            <w:r>
              <w:rPr>
                <w:rFonts w:hint="eastAsia" w:ascii="仿宋" w:hAnsi="仿宋" w:eastAsia="仿宋" w:cs="仿宋"/>
              </w:rPr>
              <w:t>投标人应具有独立承担民事责任的能力</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68E769AB">
            <w:pPr>
              <w:rPr>
                <w:rFonts w:hint="eastAsia" w:ascii="仿宋" w:hAnsi="仿宋" w:eastAsia="仿宋" w:cs="仿宋"/>
              </w:rPr>
            </w:pPr>
            <w:r>
              <w:rPr>
                <w:rFonts w:hint="eastAsia" w:ascii="仿宋" w:hAnsi="仿宋" w:eastAsia="仿宋" w:cs="仿宋"/>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14:paraId="05BD9C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34"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6E3B33A2">
            <w:pPr>
              <w:jc w:val="center"/>
              <w:rPr>
                <w:rFonts w:hint="eastAsia" w:ascii="仿宋" w:hAnsi="仿宋" w:eastAsia="仿宋" w:cs="仿宋"/>
              </w:rPr>
            </w:pPr>
            <w:r>
              <w:rPr>
                <w:rFonts w:hint="eastAsia" w:ascii="仿宋" w:hAnsi="仿宋" w:eastAsia="仿宋" w:cs="仿宋"/>
              </w:rPr>
              <w:t>2</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656FC7CB">
            <w:pPr>
              <w:rPr>
                <w:rFonts w:hint="eastAsia" w:ascii="仿宋" w:hAnsi="仿宋" w:eastAsia="仿宋" w:cs="仿宋"/>
              </w:rPr>
            </w:pPr>
            <w:r>
              <w:rPr>
                <w:rFonts w:hint="eastAsia" w:ascii="仿宋" w:hAnsi="仿宋" w:eastAsia="仿宋" w:cs="仿宋"/>
              </w:rPr>
              <w:t>具有良好的商业信誉的证明材料；具有健全的财务会计制度的证明材料；缴纳社会保障资金的证明材料；缴纳税收的证明材料；参加政府采购活动前三年内，在经营活动中没有重大违法记录；供应商应提供履行合同所必需的设备和专业技术能力的证明材料；</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53AECA2F">
            <w:pPr>
              <w:rPr>
                <w:rFonts w:hint="eastAsia" w:ascii="仿宋" w:hAnsi="仿宋" w:eastAsia="仿宋" w:cs="仿宋"/>
              </w:rPr>
            </w:pPr>
            <w:r>
              <w:rPr>
                <w:rFonts w:hint="eastAsia" w:ascii="仿宋" w:hAnsi="仿宋" w:eastAsia="仿宋" w:cs="仿宋"/>
              </w:rPr>
              <w:t xml:space="preserve">1.投标人具有良好的商业信誉的书面声明材料。 </w:t>
            </w:r>
          </w:p>
          <w:p w14:paraId="0E72E506">
            <w:pPr>
              <w:rPr>
                <w:rFonts w:hint="eastAsia" w:ascii="仿宋" w:hAnsi="仿宋" w:eastAsia="仿宋" w:cs="仿宋"/>
              </w:rPr>
            </w:pPr>
            <w:r>
              <w:rPr>
                <w:rFonts w:hint="eastAsia" w:ascii="仿宋" w:hAnsi="仿宋" w:eastAsia="仿宋" w:cs="仿宋"/>
              </w:rPr>
              <w:t>2.投标人参加政府采购活动前三年内，在经营活动中没有重大违法记录的书面声明材料；</w:t>
            </w:r>
          </w:p>
          <w:p w14:paraId="090D7002">
            <w:pPr>
              <w:rPr>
                <w:rFonts w:hint="eastAsia" w:ascii="仿宋" w:hAnsi="仿宋" w:eastAsia="仿宋" w:cs="仿宋"/>
              </w:rPr>
            </w:pPr>
            <w:r>
              <w:rPr>
                <w:rFonts w:hint="eastAsia" w:ascii="仿宋" w:hAnsi="仿宋" w:eastAsia="仿宋" w:cs="仿宋"/>
              </w:rPr>
              <w:t xml:space="preserve">3.投标人具有健全的财务会计制度的书面声明材料； </w:t>
            </w:r>
          </w:p>
          <w:p w14:paraId="5871169C">
            <w:pPr>
              <w:rPr>
                <w:rFonts w:hint="eastAsia" w:ascii="仿宋" w:hAnsi="仿宋" w:eastAsia="仿宋" w:cs="仿宋"/>
              </w:rPr>
            </w:pPr>
            <w:r>
              <w:rPr>
                <w:rFonts w:hint="eastAsia" w:ascii="仿宋" w:hAnsi="仿宋" w:eastAsia="仿宋" w:cs="仿宋"/>
              </w:rPr>
              <w:t>4.投标人具有依法缴纳社会保障资金良好记录的书面声明材料；</w:t>
            </w:r>
          </w:p>
          <w:p w14:paraId="5C278B89">
            <w:pPr>
              <w:rPr>
                <w:rFonts w:hint="eastAsia" w:ascii="仿宋" w:hAnsi="仿宋" w:eastAsia="仿宋" w:cs="仿宋"/>
              </w:rPr>
            </w:pPr>
            <w:r>
              <w:rPr>
                <w:rFonts w:hint="eastAsia" w:ascii="仿宋" w:hAnsi="仿宋" w:eastAsia="仿宋" w:cs="仿宋"/>
              </w:rPr>
              <w:t>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14:paraId="6F7D19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48"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52C4BCA4">
            <w:pPr>
              <w:jc w:val="center"/>
              <w:rPr>
                <w:rFonts w:hint="eastAsia" w:ascii="仿宋" w:hAnsi="仿宋" w:eastAsia="仿宋" w:cs="仿宋"/>
              </w:rPr>
            </w:pPr>
            <w:r>
              <w:rPr>
                <w:rFonts w:hint="eastAsia" w:ascii="仿宋" w:hAnsi="仿宋" w:eastAsia="仿宋" w:cs="仿宋"/>
              </w:rPr>
              <w:t>3</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3373122D">
            <w:pPr>
              <w:rPr>
                <w:rFonts w:hint="eastAsia" w:ascii="仿宋" w:hAnsi="仿宋" w:eastAsia="仿宋" w:cs="仿宋"/>
              </w:rPr>
            </w:pPr>
            <w:r>
              <w:rPr>
                <w:rFonts w:hint="eastAsia" w:ascii="仿宋" w:hAnsi="仿宋" w:eastAsia="仿宋" w:cs="仿宋"/>
              </w:rPr>
              <w:t>未被列入失信被执行人、重大税收违法案件当事人名单、政府采购严重违法失信行为记录名单</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0BF0C3A9">
            <w:pPr>
              <w:rPr>
                <w:rFonts w:hint="eastAsia" w:ascii="仿宋" w:hAnsi="仿宋" w:eastAsia="仿宋" w:cs="仿宋"/>
              </w:rPr>
            </w:pPr>
            <w:r>
              <w:rPr>
                <w:rFonts w:hint="eastAsia" w:ascii="仿宋" w:hAnsi="仿宋" w:eastAsia="仿宋" w:cs="仿宋"/>
              </w:rPr>
              <w:t xml:space="preserve">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w:t>
            </w:r>
          </w:p>
          <w:p w14:paraId="3AB8C8E0">
            <w:pPr>
              <w:rPr>
                <w:rFonts w:hint="eastAsia" w:ascii="仿宋" w:hAnsi="仿宋" w:eastAsia="仿宋" w:cs="仿宋"/>
              </w:rPr>
            </w:pPr>
            <w:r>
              <w:rPr>
                <w:rFonts w:hint="eastAsia" w:ascii="仿宋" w:hAnsi="仿宋" w:eastAsia="仿宋" w:cs="仿宋"/>
              </w:rPr>
              <w:t>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14:paraId="5BB477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18"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6DA18FA1">
            <w:pPr>
              <w:jc w:val="center"/>
              <w:rPr>
                <w:rFonts w:hint="eastAsia" w:ascii="仿宋" w:hAnsi="仿宋" w:eastAsia="仿宋" w:cs="仿宋"/>
              </w:rPr>
            </w:pPr>
            <w:r>
              <w:rPr>
                <w:rFonts w:hint="eastAsia" w:ascii="仿宋" w:hAnsi="仿宋" w:eastAsia="仿宋" w:cs="仿宋"/>
              </w:rPr>
              <w:t>4</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7F11C8D6">
            <w:pPr>
              <w:rPr>
                <w:rFonts w:hint="eastAsia" w:ascii="仿宋" w:hAnsi="仿宋" w:eastAsia="仿宋" w:cs="仿宋"/>
              </w:rPr>
            </w:pPr>
            <w:r>
              <w:rPr>
                <w:rFonts w:hint="eastAsia" w:ascii="仿宋" w:hAnsi="仿宋" w:eastAsia="仿宋" w:cs="仿宋"/>
              </w:rPr>
              <w:t>未处于被行政部门禁止参与政府采购活动的期限内</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6608B512">
            <w:pPr>
              <w:rPr>
                <w:rFonts w:hint="eastAsia" w:ascii="仿宋" w:hAnsi="仿宋" w:eastAsia="仿宋" w:cs="仿宋"/>
              </w:rPr>
            </w:pPr>
            <w:r>
              <w:rPr>
                <w:rFonts w:hint="eastAsia" w:ascii="仿宋" w:hAnsi="仿宋" w:eastAsia="仿宋" w:cs="仿宋"/>
              </w:rPr>
              <w:t>投标人未处于被行政部门禁止参与政府采购活动的期限内。 【说明：①投标人按招标文件要求提供书面声明材料；②投标人未处于被行政部门禁止参与政府采购活动的期限内。】</w:t>
            </w:r>
          </w:p>
        </w:tc>
      </w:tr>
      <w:tr w14:paraId="64CBC8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119"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226613D9">
            <w:pPr>
              <w:jc w:val="center"/>
              <w:rPr>
                <w:rFonts w:hint="eastAsia" w:ascii="仿宋" w:hAnsi="仿宋" w:eastAsia="仿宋" w:cs="仿宋"/>
              </w:rPr>
            </w:pPr>
            <w:r>
              <w:rPr>
                <w:rFonts w:hint="eastAsia" w:ascii="仿宋" w:hAnsi="仿宋" w:eastAsia="仿宋" w:cs="仿宋"/>
              </w:rPr>
              <w:t>5</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08A0BBEA">
            <w:pPr>
              <w:rPr>
                <w:rFonts w:hint="eastAsia" w:ascii="仿宋" w:hAnsi="仿宋" w:eastAsia="仿宋" w:cs="仿宋"/>
              </w:rPr>
            </w:pPr>
            <w:r>
              <w:rPr>
                <w:rFonts w:hint="eastAsia" w:ascii="仿宋" w:hAnsi="仿宋" w:eastAsia="仿宋" w:cs="仿宋"/>
              </w:rPr>
              <w:t>行贿犯罪记录</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714C690E">
            <w:pPr>
              <w:rPr>
                <w:rFonts w:hint="eastAsia" w:ascii="仿宋" w:hAnsi="仿宋" w:eastAsia="仿宋" w:cs="仿宋"/>
              </w:rPr>
            </w:pPr>
            <w:r>
              <w:rPr>
                <w:rFonts w:hint="eastAsia" w:ascii="仿宋" w:hAnsi="仿宋" w:eastAsia="仿宋" w:cs="仿宋"/>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14:paraId="118A3F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33"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70C64FDA">
            <w:pPr>
              <w:jc w:val="center"/>
              <w:rPr>
                <w:rFonts w:hint="eastAsia" w:ascii="仿宋" w:hAnsi="仿宋" w:eastAsia="仿宋" w:cs="仿宋"/>
              </w:rPr>
            </w:pPr>
            <w:r>
              <w:rPr>
                <w:rFonts w:hint="eastAsia" w:ascii="仿宋" w:hAnsi="仿宋" w:eastAsia="仿宋" w:cs="仿宋"/>
              </w:rPr>
              <w:t>6</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2A100E9C">
            <w:pPr>
              <w:rPr>
                <w:rFonts w:hint="eastAsia" w:ascii="仿宋" w:hAnsi="仿宋" w:eastAsia="仿宋" w:cs="仿宋"/>
              </w:rPr>
            </w:pPr>
            <w:r>
              <w:rPr>
                <w:rFonts w:hint="eastAsia" w:ascii="仿宋" w:hAnsi="仿宋" w:eastAsia="仿宋" w:cs="仿宋"/>
              </w:rPr>
              <w:t>单位负责人为同一人或者存在直接控股、管理关系的不同供应商，不得参加同一项目的投标</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1C529C20">
            <w:pPr>
              <w:rPr>
                <w:rFonts w:hint="eastAsia" w:ascii="仿宋" w:hAnsi="仿宋" w:eastAsia="仿宋" w:cs="仿宋"/>
              </w:rPr>
            </w:pPr>
            <w:r>
              <w:rPr>
                <w:rFonts w:hint="eastAsia" w:ascii="仿宋" w:hAnsi="仿宋" w:eastAsia="仿宋" w:cs="仿宋"/>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14:paraId="73CF62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71"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0A9E237B">
            <w:pPr>
              <w:jc w:val="center"/>
              <w:rPr>
                <w:rFonts w:hint="eastAsia" w:ascii="仿宋" w:hAnsi="仿宋" w:eastAsia="仿宋" w:cs="仿宋"/>
              </w:rPr>
            </w:pPr>
            <w:r>
              <w:rPr>
                <w:rFonts w:hint="eastAsia" w:ascii="仿宋" w:hAnsi="仿宋" w:eastAsia="仿宋" w:cs="仿宋"/>
              </w:rPr>
              <w:t>7</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55A69F83">
            <w:pPr>
              <w:rPr>
                <w:rFonts w:hint="eastAsia" w:ascii="仿宋" w:hAnsi="仿宋" w:eastAsia="仿宋" w:cs="仿宋"/>
              </w:rPr>
            </w:pPr>
            <w:r>
              <w:rPr>
                <w:rFonts w:hint="eastAsia" w:ascii="仿宋" w:hAnsi="仿宋" w:eastAsia="仿宋" w:cs="仿宋"/>
              </w:rPr>
              <w:t>投标文件签章</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428715D1">
            <w:pPr>
              <w:rPr>
                <w:rFonts w:hint="eastAsia" w:ascii="仿宋" w:hAnsi="仿宋" w:eastAsia="仿宋" w:cs="仿宋"/>
              </w:rPr>
            </w:pPr>
            <w:r>
              <w:rPr>
                <w:rFonts w:hint="eastAsia" w:ascii="仿宋" w:hAnsi="仿宋" w:eastAsia="仿宋" w:cs="仿宋"/>
              </w:rPr>
              <w:t>投标文件加盖有投标人（法定名称）电子签章。【说明：无须提供证明材料，上传空白页即可，不对本项上传的材料作资格审查】</w:t>
            </w:r>
          </w:p>
        </w:tc>
      </w:tr>
      <w:tr w14:paraId="2FBD75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72"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0BDD0FDD">
            <w:pPr>
              <w:jc w:val="center"/>
              <w:rPr>
                <w:rFonts w:hint="eastAsia" w:ascii="仿宋" w:hAnsi="仿宋" w:eastAsia="仿宋" w:cs="仿宋"/>
              </w:rPr>
            </w:pPr>
            <w:r>
              <w:rPr>
                <w:rFonts w:hint="eastAsia" w:ascii="仿宋" w:hAnsi="仿宋" w:eastAsia="仿宋" w:cs="仿宋"/>
              </w:rPr>
              <w:t>8</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0788EAEF">
            <w:pPr>
              <w:rPr>
                <w:rFonts w:hint="eastAsia" w:ascii="仿宋" w:hAnsi="仿宋" w:eastAsia="仿宋" w:cs="仿宋"/>
              </w:rPr>
            </w:pPr>
            <w:r>
              <w:rPr>
                <w:rFonts w:hint="eastAsia" w:ascii="仿宋" w:hAnsi="仿宋" w:eastAsia="仿宋" w:cs="仿宋"/>
              </w:rPr>
              <w:t>投标文件资格响应文件的语言</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3BC744B3">
            <w:pPr>
              <w:rPr>
                <w:rFonts w:hint="eastAsia" w:ascii="仿宋" w:hAnsi="仿宋" w:eastAsia="仿宋" w:cs="仿宋"/>
              </w:rPr>
            </w:pPr>
            <w:r>
              <w:rPr>
                <w:rFonts w:hint="eastAsia" w:ascii="仿宋" w:hAnsi="仿宋" w:eastAsia="仿宋" w:cs="仿宋"/>
              </w:rPr>
              <w:t>语言符合招标文件的要求。 【说明：投标人无须提供证明材料，上传空白页即可，不对本项上传的材料作资格审查】</w:t>
            </w:r>
          </w:p>
        </w:tc>
      </w:tr>
      <w:tr w14:paraId="147F61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146"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57431F92">
            <w:pPr>
              <w:jc w:val="center"/>
              <w:rPr>
                <w:rFonts w:hint="eastAsia" w:ascii="仿宋" w:hAnsi="仿宋" w:eastAsia="仿宋" w:cs="仿宋"/>
              </w:rPr>
            </w:pPr>
            <w:r>
              <w:rPr>
                <w:rFonts w:hint="eastAsia" w:ascii="仿宋" w:hAnsi="仿宋" w:eastAsia="仿宋" w:cs="仿宋"/>
              </w:rPr>
              <w:t>9</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3BE016F0">
            <w:pPr>
              <w:rPr>
                <w:rFonts w:hint="eastAsia" w:ascii="仿宋" w:hAnsi="仿宋" w:eastAsia="仿宋" w:cs="仿宋"/>
              </w:rPr>
            </w:pPr>
            <w:r>
              <w:rPr>
                <w:rFonts w:hint="eastAsia" w:ascii="仿宋" w:hAnsi="仿宋" w:eastAsia="仿宋" w:cs="仿宋"/>
              </w:rPr>
              <w:t>法律、行政法规规定的其他条件</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570FD5C3">
            <w:pPr>
              <w:rPr>
                <w:rFonts w:hint="eastAsia" w:ascii="仿宋" w:hAnsi="仿宋" w:eastAsia="仿宋" w:cs="仿宋"/>
              </w:rPr>
            </w:pPr>
            <w:r>
              <w:rPr>
                <w:rFonts w:hint="eastAsia" w:ascii="仿宋" w:hAnsi="仿宋" w:eastAsia="仿宋" w:cs="仿宋"/>
              </w:rPr>
              <w:t>采购人对法律、行政法规规定的其他条件无其他特殊要求，投标人可不提供证明材料。 【说明：投标人无须提供证明材料，上传空白页即可，不对本项上传的材料作资格审查】</w:t>
            </w:r>
          </w:p>
        </w:tc>
      </w:tr>
      <w:tr w14:paraId="0B5E5E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97"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FFFFFF"/>
            <w:vAlign w:val="center"/>
          </w:tcPr>
          <w:p w14:paraId="3ECC59A0">
            <w:pPr>
              <w:jc w:val="center"/>
              <w:rPr>
                <w:rFonts w:hint="eastAsia" w:ascii="仿宋" w:hAnsi="仿宋" w:eastAsia="仿宋" w:cs="仿宋"/>
              </w:rPr>
            </w:pPr>
            <w:r>
              <w:rPr>
                <w:rFonts w:hint="eastAsia" w:ascii="仿宋" w:hAnsi="仿宋" w:eastAsia="仿宋" w:cs="仿宋"/>
              </w:rPr>
              <w:t>10</w:t>
            </w:r>
          </w:p>
        </w:tc>
        <w:tc>
          <w:tcPr>
            <w:tcW w:w="1969" w:type="dxa"/>
            <w:tcBorders>
              <w:top w:val="outset" w:color="auto" w:sz="6" w:space="0"/>
              <w:left w:val="outset" w:color="auto" w:sz="6" w:space="0"/>
              <w:bottom w:val="outset" w:color="auto" w:sz="6" w:space="0"/>
              <w:right w:val="outset" w:color="auto" w:sz="6" w:space="0"/>
            </w:tcBorders>
            <w:shd w:val="clear" w:color="auto" w:fill="FFFFFF"/>
            <w:vAlign w:val="center"/>
          </w:tcPr>
          <w:p w14:paraId="737CEE6E">
            <w:pPr>
              <w:rPr>
                <w:rFonts w:hint="eastAsia" w:ascii="仿宋" w:hAnsi="仿宋" w:eastAsia="仿宋" w:cs="仿宋"/>
              </w:rPr>
            </w:pPr>
            <w:r>
              <w:rPr>
                <w:rFonts w:hint="eastAsia" w:ascii="仿宋" w:hAnsi="仿宋" w:eastAsia="仿宋" w:cs="仿宋"/>
              </w:rPr>
              <w:t>不属于国家相关法律法规规定的其他禁止参加投标的情形</w:t>
            </w:r>
          </w:p>
        </w:tc>
        <w:tc>
          <w:tcPr>
            <w:tcW w:w="5604" w:type="dxa"/>
            <w:tcBorders>
              <w:top w:val="outset" w:color="auto" w:sz="6" w:space="0"/>
              <w:left w:val="outset" w:color="auto" w:sz="6" w:space="0"/>
              <w:bottom w:val="outset" w:color="auto" w:sz="6" w:space="0"/>
              <w:right w:val="outset" w:color="auto" w:sz="6" w:space="0"/>
            </w:tcBorders>
            <w:shd w:val="clear" w:color="auto" w:fill="FFFFFF"/>
            <w:vAlign w:val="center"/>
          </w:tcPr>
          <w:p w14:paraId="341BD0BC">
            <w:pPr>
              <w:rPr>
                <w:rFonts w:hint="eastAsia" w:ascii="仿宋" w:hAnsi="仿宋" w:eastAsia="仿宋" w:cs="仿宋"/>
              </w:rPr>
            </w:pPr>
            <w:r>
              <w:rPr>
                <w:rFonts w:hint="eastAsia" w:ascii="仿宋" w:hAnsi="仿宋" w:eastAsia="仿宋" w:cs="仿宋"/>
              </w:rPr>
              <w:t>1.根据招标文件的要求不属于禁止参加投标或投标无效的供应商；</w:t>
            </w:r>
          </w:p>
          <w:p w14:paraId="533897DD">
            <w:pPr>
              <w:rPr>
                <w:rFonts w:hint="eastAsia" w:ascii="仿宋" w:hAnsi="仿宋" w:eastAsia="仿宋" w:cs="仿宋"/>
              </w:rPr>
            </w:pPr>
            <w:r>
              <w:rPr>
                <w:rFonts w:hint="eastAsia" w:ascii="仿宋" w:hAnsi="仿宋" w:eastAsia="仿宋" w:cs="仿宋"/>
              </w:rPr>
              <w:t>2.资格审查小组未发现或者未知晓投标人存在属于国家相关法律法规规定的禁止参加投标或投标无效的供应商。 【说明：投标人无须提供证明材料，上传空白页即可，不对本项上传的材料作资格审查】</w:t>
            </w:r>
          </w:p>
        </w:tc>
      </w:tr>
    </w:tbl>
    <w:p w14:paraId="74F086E2">
      <w:pPr>
        <w:rPr>
          <w:rFonts w:hint="eastAsia" w:ascii="仿宋" w:hAnsi="仿宋" w:eastAsia="仿宋" w:cs="仿宋"/>
        </w:rPr>
      </w:pPr>
      <w:r>
        <w:rPr>
          <w:rFonts w:hint="eastAsia" w:ascii="仿宋" w:hAnsi="仿宋" w:eastAsia="仿宋" w:cs="仿宋"/>
        </w:rPr>
        <w:t>其他资格要求：无。</w:t>
      </w:r>
    </w:p>
    <w:p w14:paraId="354B997C">
      <w:pPr>
        <w:spacing w:line="360" w:lineRule="auto"/>
        <w:rPr>
          <w:rFonts w:hint="eastAsia" w:ascii="仿宋" w:hAnsi="仿宋" w:eastAsia="仿宋" w:cs="仿宋"/>
          <w:b/>
          <w:sz w:val="28"/>
          <w:szCs w:val="32"/>
        </w:rPr>
      </w:pPr>
      <w:r>
        <w:rPr>
          <w:rFonts w:hint="eastAsia" w:ascii="仿宋" w:hAnsi="仿宋" w:eastAsia="仿宋" w:cs="仿宋"/>
          <w:b/>
          <w:sz w:val="28"/>
          <w:szCs w:val="32"/>
        </w:rPr>
        <w:t>三、主要技术要求与标准</w:t>
      </w:r>
    </w:p>
    <w:p w14:paraId="2D39C7F5">
      <w:pPr>
        <w:pStyle w:val="4"/>
        <w:spacing w:before="156" w:beforeLines="50" w:after="156" w:afterLines="50"/>
        <w:ind w:firstLine="422"/>
        <w:rPr>
          <w:rFonts w:hint="eastAsia" w:ascii="仿宋" w:hAnsi="仿宋" w:eastAsia="仿宋" w:cs="仿宋"/>
          <w:b/>
          <w:lang w:val="en-US" w:eastAsia="zh-CN"/>
        </w:rPr>
      </w:pPr>
      <w:r>
        <w:rPr>
          <w:rFonts w:hint="eastAsia" w:ascii="仿宋" w:hAnsi="仿宋" w:eastAsia="仿宋" w:cs="仿宋"/>
          <w:b/>
        </w:rPr>
        <w:t>包1：食堂专用设备类</w:t>
      </w:r>
      <w:r>
        <w:rPr>
          <w:rFonts w:hint="eastAsia" w:ascii="仿宋" w:hAnsi="仿宋" w:eastAsia="仿宋" w:cs="仿宋"/>
          <w:b/>
          <w:lang w:val="en-US" w:eastAsia="zh-CN"/>
        </w:rPr>
        <w:t>拟采购清单</w:t>
      </w:r>
    </w:p>
    <w:tbl>
      <w:tblPr>
        <w:tblStyle w:val="9"/>
        <w:tblW w:w="8115" w:type="dxa"/>
        <w:tblInd w:w="96" w:type="dxa"/>
        <w:tblLayout w:type="fixed"/>
        <w:tblCellMar>
          <w:top w:w="0" w:type="dxa"/>
          <w:left w:w="108" w:type="dxa"/>
          <w:bottom w:w="0" w:type="dxa"/>
          <w:right w:w="108" w:type="dxa"/>
        </w:tblCellMar>
      </w:tblPr>
      <w:tblGrid>
        <w:gridCol w:w="721"/>
        <w:gridCol w:w="2410"/>
        <w:gridCol w:w="771"/>
        <w:gridCol w:w="1425"/>
        <w:gridCol w:w="1388"/>
        <w:gridCol w:w="1400"/>
      </w:tblGrid>
      <w:tr w14:paraId="372126ED">
        <w:tblPrEx>
          <w:tblCellMar>
            <w:top w:w="0" w:type="dxa"/>
            <w:left w:w="108" w:type="dxa"/>
            <w:bottom w:w="0" w:type="dxa"/>
            <w:right w:w="108" w:type="dxa"/>
          </w:tblCellMar>
        </w:tblPrEx>
        <w:trPr>
          <w:trHeight w:val="284" w:hRule="atLeast"/>
        </w:trPr>
        <w:tc>
          <w:tcPr>
            <w:tcW w:w="721" w:type="dxa"/>
            <w:tcBorders>
              <w:top w:val="single" w:color="000000" w:sz="8" w:space="0"/>
              <w:left w:val="single" w:color="000000" w:sz="8" w:space="0"/>
              <w:bottom w:val="single" w:color="auto" w:sz="4" w:space="0"/>
              <w:right w:val="single" w:color="000000" w:sz="8" w:space="0"/>
            </w:tcBorders>
            <w:shd w:val="clear" w:color="auto" w:fill="auto"/>
          </w:tcPr>
          <w:p w14:paraId="1E6E08F5">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序号</w:t>
            </w:r>
          </w:p>
        </w:tc>
        <w:tc>
          <w:tcPr>
            <w:tcW w:w="2410" w:type="dxa"/>
            <w:tcBorders>
              <w:top w:val="single" w:color="000000" w:sz="8" w:space="0"/>
              <w:left w:val="single" w:color="000000" w:sz="8" w:space="0"/>
              <w:bottom w:val="single" w:color="auto" w:sz="4" w:space="0"/>
              <w:right w:val="single" w:color="000000" w:sz="8" w:space="0"/>
            </w:tcBorders>
            <w:shd w:val="clear" w:color="auto" w:fill="auto"/>
          </w:tcPr>
          <w:p w14:paraId="3025FE34">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拟采购清单</w:t>
            </w:r>
          </w:p>
        </w:tc>
        <w:tc>
          <w:tcPr>
            <w:tcW w:w="771" w:type="dxa"/>
            <w:tcBorders>
              <w:top w:val="single" w:color="000000" w:sz="8" w:space="0"/>
              <w:left w:val="single" w:color="000000" w:sz="8" w:space="0"/>
              <w:bottom w:val="single" w:color="auto" w:sz="4" w:space="0"/>
              <w:right w:val="single" w:color="000000" w:sz="8" w:space="0"/>
            </w:tcBorders>
            <w:shd w:val="clear" w:color="auto" w:fill="auto"/>
          </w:tcPr>
          <w:p w14:paraId="23651280">
            <w:pPr>
              <w:adjustRightInd w:val="0"/>
              <w:snapToGrid w:val="0"/>
              <w:jc w:val="center"/>
              <w:rPr>
                <w:rFonts w:hint="eastAsia" w:ascii="仿宋" w:hAnsi="仿宋" w:eastAsia="仿宋" w:cs="仿宋"/>
                <w:b/>
                <w:szCs w:val="21"/>
                <w:lang w:eastAsia="zh-CN" w:bidi="ar"/>
              </w:rPr>
            </w:pPr>
            <w:r>
              <w:rPr>
                <w:rFonts w:hint="eastAsia" w:ascii="仿宋" w:hAnsi="仿宋" w:eastAsia="仿宋" w:cs="仿宋"/>
                <w:b/>
                <w:szCs w:val="21"/>
                <w:lang w:eastAsia="zh-CN" w:bidi="ar"/>
              </w:rPr>
              <w:t>单位</w:t>
            </w:r>
          </w:p>
        </w:tc>
        <w:tc>
          <w:tcPr>
            <w:tcW w:w="1425" w:type="dxa"/>
            <w:tcBorders>
              <w:top w:val="single" w:color="000000" w:sz="8" w:space="0"/>
              <w:left w:val="single" w:color="000000" w:sz="8" w:space="0"/>
              <w:bottom w:val="single" w:color="auto" w:sz="4" w:space="0"/>
              <w:right w:val="single" w:color="000000" w:sz="8" w:space="0"/>
            </w:tcBorders>
            <w:shd w:val="clear" w:color="auto" w:fill="auto"/>
          </w:tcPr>
          <w:p w14:paraId="7C172075">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预估数量</w:t>
            </w:r>
          </w:p>
        </w:tc>
        <w:tc>
          <w:tcPr>
            <w:tcW w:w="1388" w:type="dxa"/>
            <w:tcBorders>
              <w:top w:val="single" w:color="000000" w:sz="8" w:space="0"/>
              <w:left w:val="single" w:color="000000" w:sz="8" w:space="0"/>
              <w:bottom w:val="single" w:color="auto" w:sz="4" w:space="0"/>
              <w:right w:val="single" w:color="000000" w:sz="8" w:space="0"/>
            </w:tcBorders>
            <w:shd w:val="clear" w:color="auto" w:fill="auto"/>
          </w:tcPr>
          <w:p w14:paraId="06C3A314">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val="en-US" w:eastAsia="zh-CN" w:bidi="ar"/>
              </w:rPr>
              <w:t>单价</w:t>
            </w:r>
            <w:r>
              <w:rPr>
                <w:rFonts w:hint="eastAsia" w:ascii="仿宋" w:hAnsi="仿宋" w:eastAsia="仿宋" w:cs="仿宋"/>
                <w:b/>
                <w:szCs w:val="21"/>
                <w:lang w:bidi="ar"/>
              </w:rPr>
              <w:t>（元）</w:t>
            </w:r>
          </w:p>
        </w:tc>
        <w:tc>
          <w:tcPr>
            <w:tcW w:w="1400" w:type="dxa"/>
            <w:tcBorders>
              <w:top w:val="single" w:color="000000" w:sz="8" w:space="0"/>
              <w:left w:val="single" w:color="000000" w:sz="8" w:space="0"/>
              <w:bottom w:val="single" w:color="auto" w:sz="4" w:space="0"/>
              <w:right w:val="single" w:color="000000" w:sz="8" w:space="0"/>
            </w:tcBorders>
            <w:shd w:val="clear" w:color="auto" w:fill="auto"/>
          </w:tcPr>
          <w:p w14:paraId="0079B65B">
            <w:pPr>
              <w:adjustRightInd w:val="0"/>
              <w:snapToGrid w:val="0"/>
              <w:jc w:val="center"/>
              <w:rPr>
                <w:rFonts w:hint="eastAsia" w:ascii="仿宋" w:hAnsi="仿宋" w:eastAsia="仿宋" w:cs="仿宋"/>
                <w:b/>
                <w:szCs w:val="21"/>
                <w:lang w:val="en-US" w:eastAsia="zh-CN" w:bidi="ar"/>
              </w:rPr>
            </w:pPr>
            <w:r>
              <w:rPr>
                <w:rFonts w:hint="eastAsia" w:ascii="仿宋" w:hAnsi="仿宋" w:eastAsia="仿宋" w:cs="仿宋"/>
                <w:b/>
                <w:szCs w:val="21"/>
                <w:lang w:val="en-US" w:eastAsia="zh-CN" w:bidi="ar"/>
              </w:rPr>
              <w:t>金额（元）</w:t>
            </w:r>
          </w:p>
        </w:tc>
      </w:tr>
      <w:tr w14:paraId="79FBDC5C">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F281F4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1E08A29A">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六门冰箱</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27A851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5B0CF0A">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0F70FED0">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DF7724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54,000.00</w:t>
            </w:r>
          </w:p>
        </w:tc>
      </w:tr>
      <w:tr w14:paraId="7E6C93DC">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714371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B54BACE">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燃气单头小炒炉</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4F863C94">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79350F3">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4DE8CFE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8000.00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EB6846B">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16,000.00</w:t>
            </w:r>
          </w:p>
        </w:tc>
      </w:tr>
      <w:tr w14:paraId="6B55745D">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7ACCFDB">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864AB34">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中餐燃气炒菜灶</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1A5D63F4">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73325CC">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17DFA36B">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18000.00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CFB535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54,000.00</w:t>
            </w:r>
          </w:p>
        </w:tc>
      </w:tr>
      <w:tr w14:paraId="482B58B0">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13EF0C4">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1497855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单眼吊汤燃气灶</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25BEAB6D">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A9B02DF">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39407E28">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11DD6F2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5,000.00</w:t>
            </w:r>
          </w:p>
        </w:tc>
      </w:tr>
      <w:tr w14:paraId="5735D228">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C11525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982147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单头燃气大锅灶</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6356B4C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9DB63AA">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0B60CE8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12500.00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76865CE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25,000.00</w:t>
            </w:r>
          </w:p>
        </w:tc>
      </w:tr>
      <w:tr w14:paraId="5C78EB73">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38638B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C4DEAD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热风循环消毒柜</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9890E88">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6DD84B8">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0280669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9100.00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F77EEB3">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9,100.00</w:t>
            </w:r>
          </w:p>
        </w:tc>
      </w:tr>
      <w:tr w14:paraId="12034919">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85585E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879C4CB">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刀具消毒柜</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0118DC5F">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12A85A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0417356C">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3400.00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2739ECC">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3,400.00</w:t>
            </w:r>
          </w:p>
        </w:tc>
      </w:tr>
      <w:tr w14:paraId="1D73FB02">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75C43F0">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868A25E">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双门燃气蒸饭柜</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418A110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21C434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0B72B87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25000.00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5636266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50,000.00</w:t>
            </w:r>
          </w:p>
        </w:tc>
      </w:tr>
      <w:tr w14:paraId="63DBCF86">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710C7FF">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34EA1B83">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三网双刀绞肉机</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F1D07B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AF3558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2BBBC03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30000.00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8FA91A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30,000.00</w:t>
            </w:r>
          </w:p>
        </w:tc>
      </w:tr>
      <w:tr w14:paraId="1A586724">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E4EA744">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79A2705">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微波炉</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0C16E1DB">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D67502A">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6131650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3500.00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905A33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3,500.00</w:t>
            </w:r>
          </w:p>
        </w:tc>
      </w:tr>
      <w:tr w14:paraId="0FA1F917">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DF24875">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5007348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单头电磁炉</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6B37EF1E">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5CE2A1F">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0419AFA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2500.00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B59816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5,000.00</w:t>
            </w:r>
          </w:p>
        </w:tc>
      </w:tr>
      <w:tr w14:paraId="3C8A5B70">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E7E8233">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3DFA9CB3">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双门立式保鲜柜</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09D819FF">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345027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6D07A3D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1AB23D5">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10,000.00</w:t>
            </w:r>
          </w:p>
        </w:tc>
      </w:tr>
      <w:tr w14:paraId="7BC4217D">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924DAA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0873A8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卧式冰柜</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2543168F">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8FF2ECB">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2E2AB8E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3500.00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608AA1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3,500.00</w:t>
            </w:r>
          </w:p>
        </w:tc>
      </w:tr>
      <w:tr w14:paraId="39105C3C">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88349E3">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DCFACE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制冰机</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025E061A">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4516B0A">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66FAAB54">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1630A7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5,000.00</w:t>
            </w:r>
          </w:p>
        </w:tc>
      </w:tr>
      <w:tr w14:paraId="5FF2B02A">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D68A07F">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5307637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电炸炉</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102379AD">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AB0D9C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14BD780D">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C001E4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4,000.00</w:t>
            </w:r>
          </w:p>
        </w:tc>
      </w:tr>
      <w:tr w14:paraId="12C96207">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E6B6875">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1E8DFA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电饭煲</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20667034">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个</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D29E9DB">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7A1A367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00F2FE5">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2,000.00</w:t>
            </w:r>
          </w:p>
        </w:tc>
      </w:tr>
      <w:tr w14:paraId="2EC456D9">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1ED2D5B">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17</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6C84D3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四层栅格菜架</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63527CF">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个</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B3F2063">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5552C86D">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2000.00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0D6A4C7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8,000.00</w:t>
            </w:r>
          </w:p>
        </w:tc>
      </w:tr>
      <w:tr w14:paraId="5FB1FC9F">
        <w:tblPrEx>
          <w:tblCellMar>
            <w:top w:w="0" w:type="dxa"/>
            <w:left w:w="108" w:type="dxa"/>
            <w:bottom w:w="0" w:type="dxa"/>
            <w:right w:w="108" w:type="dxa"/>
          </w:tblCellMar>
        </w:tblPrEx>
        <w:trPr>
          <w:trHeight w:val="284" w:hRule="exac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6A89BC5">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36329B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风幕机</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395DFDC3">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5E5E6E5">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6422A00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2500.00</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9F6A7A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12,500.00</w:t>
            </w:r>
          </w:p>
        </w:tc>
      </w:tr>
      <w:tr w14:paraId="2F112663">
        <w:tblPrEx>
          <w:tblCellMar>
            <w:top w:w="0" w:type="dxa"/>
            <w:left w:w="108" w:type="dxa"/>
            <w:bottom w:w="0" w:type="dxa"/>
            <w:right w:w="108" w:type="dxa"/>
          </w:tblCellMar>
        </w:tblPrEx>
        <w:trPr>
          <w:trHeight w:val="284" w:hRule="exact"/>
        </w:trPr>
        <w:tc>
          <w:tcPr>
            <w:tcW w:w="6715"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1400980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合计金额</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4FDE540">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300,000.00</w:t>
            </w:r>
          </w:p>
        </w:tc>
      </w:tr>
    </w:tbl>
    <w:p w14:paraId="586BC123">
      <w:pPr>
        <w:spacing w:line="360" w:lineRule="auto"/>
        <w:rPr>
          <w:rFonts w:hint="eastAsia" w:ascii="仿宋" w:hAnsi="仿宋" w:eastAsia="仿宋" w:cs="仿宋"/>
          <w:b/>
        </w:rPr>
      </w:pP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709"/>
        <w:gridCol w:w="5973"/>
      </w:tblGrid>
      <w:tr w14:paraId="79F1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91" w:type="pct"/>
            <w:vAlign w:val="center"/>
          </w:tcPr>
          <w:p w14:paraId="34323559">
            <w:pPr>
              <w:adjustRightInd w:val="0"/>
              <w:snapToGrid w:val="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序号</w:t>
            </w:r>
          </w:p>
        </w:tc>
        <w:tc>
          <w:tcPr>
            <w:tcW w:w="1003" w:type="pct"/>
            <w:vAlign w:val="center"/>
          </w:tcPr>
          <w:p w14:paraId="2B9B9E7F">
            <w:pPr>
              <w:adjustRightInd w:val="0"/>
              <w:snapToGrid w:val="0"/>
              <w:jc w:val="center"/>
              <w:rPr>
                <w:rFonts w:hint="default" w:ascii="仿宋" w:hAnsi="仿宋" w:eastAsia="仿宋" w:cs="仿宋"/>
                <w:b/>
                <w:bCs/>
                <w:kern w:val="0"/>
                <w:sz w:val="20"/>
                <w:szCs w:val="20"/>
                <w:lang w:val="en-US" w:eastAsia="zh-CN"/>
              </w:rPr>
            </w:pPr>
            <w:r>
              <w:rPr>
                <w:rFonts w:hint="eastAsia" w:ascii="仿宋" w:hAnsi="仿宋" w:eastAsia="仿宋" w:cs="仿宋"/>
                <w:b/>
                <w:bCs/>
                <w:kern w:val="0"/>
                <w:sz w:val="20"/>
                <w:szCs w:val="20"/>
                <w:lang w:val="en-US" w:eastAsia="zh-CN"/>
              </w:rPr>
              <w:t>品目</w:t>
            </w:r>
          </w:p>
        </w:tc>
        <w:tc>
          <w:tcPr>
            <w:tcW w:w="3505" w:type="pct"/>
            <w:vAlign w:val="center"/>
          </w:tcPr>
          <w:p w14:paraId="15FB4910">
            <w:pPr>
              <w:adjustRightInd w:val="0"/>
              <w:snapToGrid w:val="0"/>
              <w:jc w:val="center"/>
              <w:rPr>
                <w:rFonts w:hint="default" w:ascii="仿宋" w:hAnsi="仿宋" w:eastAsia="仿宋" w:cs="仿宋"/>
                <w:b/>
                <w:bCs/>
                <w:kern w:val="0"/>
                <w:sz w:val="20"/>
                <w:szCs w:val="20"/>
                <w:lang w:val="en-US" w:eastAsia="zh-CN"/>
              </w:rPr>
            </w:pPr>
            <w:r>
              <w:rPr>
                <w:rFonts w:hint="eastAsia" w:ascii="仿宋" w:hAnsi="仿宋" w:eastAsia="仿宋" w:cs="仿宋"/>
                <w:b/>
                <w:bCs/>
                <w:kern w:val="0"/>
                <w:sz w:val="20"/>
                <w:szCs w:val="20"/>
              </w:rPr>
              <w:t>技术参数与性能指标</w:t>
            </w:r>
          </w:p>
        </w:tc>
      </w:tr>
      <w:tr w14:paraId="06CA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6E366545">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1003" w:type="pct"/>
            <w:vAlign w:val="center"/>
          </w:tcPr>
          <w:p w14:paraId="7F418D63">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六门冰箱</w:t>
            </w:r>
          </w:p>
        </w:tc>
        <w:tc>
          <w:tcPr>
            <w:tcW w:w="3505" w:type="pct"/>
            <w:vAlign w:val="center"/>
          </w:tcPr>
          <w:p w14:paraId="18E3CCE7">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1、制冷方式：直冷；尺寸：≥1800×710×2000（mm）；温控类型：机械\数显；冷藏室温度：+10℃～-1℃；冷冻室温度：-10℃～-18℃；电源：220V50Hz，功率：≥690W；门数：实体六门； </w:t>
            </w:r>
          </w:p>
          <w:p w14:paraId="29D82682">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2、产品内胆材质达到食品级； </w:t>
            </w:r>
          </w:p>
          <w:p w14:paraId="13BF22C0">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3、进行恒定湿热试验后，应能正常工作，符合GB/T 2423.3-2016《 环境试验 第2部分：试验方法 试验Cab：恒定湿热试验》；进行盐雾试验后，应无明显腐蚀现象，符合GB/T 2423.17-2008《电工电子产品环境试验 第2部分试验方法 试验Ka盐雾》</w:t>
            </w:r>
          </w:p>
          <w:p w14:paraId="6D90E38F">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4、净容积：≥1330L；双机双温，冷冻室温度等级不低于L3级（-12℃～-15℃）、冷藏室温度等级不低于H2级（+10℃～-1℃）标准下，带防凝露电加热，总能量消耗：≤5.50kwh/24h；依据GB 26920.2-2015《商用制冷器具能效限定值和能效等级　第2部分：自携冷凝机组商用冷柜》达到一级能效标准。</w:t>
            </w:r>
          </w:p>
          <w:p w14:paraId="25D4ACEB">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p>
        </w:tc>
      </w:tr>
      <w:tr w14:paraId="29A1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228DB59D">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1003" w:type="pct"/>
            <w:vAlign w:val="center"/>
          </w:tcPr>
          <w:p w14:paraId="6F900009">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燃气单头小炒炉</w:t>
            </w:r>
          </w:p>
        </w:tc>
        <w:tc>
          <w:tcPr>
            <w:tcW w:w="3505" w:type="pct"/>
            <w:vAlign w:val="center"/>
          </w:tcPr>
          <w:p w14:paraId="67EE2A46">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1、材质：不锈钢。尺寸：长宽高≥880*800*80+22.气源：天然气、液化气通用。</w:t>
            </w:r>
          </w:p>
          <w:p w14:paraId="3A9D1BB4">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2、配不锈钢全钢摇摆水龙头；</w:t>
            </w:r>
          </w:p>
          <w:p w14:paraId="54A3163C">
            <w:pPr>
              <w:numPr>
                <w:ilvl w:val="0"/>
                <w:numId w:val="0"/>
              </w:num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3、燃烧噪声≦60dB(A)；</w:t>
            </w:r>
          </w:p>
          <w:p w14:paraId="549D6BF9">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4、炉面配置炒围铸铁锅圈；炉面前沿设置水槽及滤水板；  </w:t>
            </w:r>
          </w:p>
          <w:p w14:paraId="0F916ED9">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5、产品气密性、干烟气中CO、热效率、电气性能等符合国家标准； </w:t>
            </w:r>
          </w:p>
          <w:p w14:paraId="057A4B46">
            <w:pPr>
              <w:numPr>
                <w:ilvl w:val="0"/>
                <w:numId w:val="0"/>
              </w:num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6、配置离子熄火保护装置. </w:t>
            </w:r>
          </w:p>
          <w:p w14:paraId="62120FBB">
            <w:pPr>
              <w:pStyle w:val="3"/>
              <w:rPr>
                <w:rFonts w:hint="default"/>
                <w:lang w:val="en-US" w:eastAsia="zh-CN"/>
              </w:rPr>
            </w:pPr>
          </w:p>
        </w:tc>
      </w:tr>
      <w:tr w14:paraId="3AFD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67A64029">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w:t>
            </w:r>
          </w:p>
        </w:tc>
        <w:tc>
          <w:tcPr>
            <w:tcW w:w="1003" w:type="pct"/>
            <w:vAlign w:val="center"/>
          </w:tcPr>
          <w:p w14:paraId="5D53A0CA">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中餐燃气炒菜灶</w:t>
            </w:r>
          </w:p>
        </w:tc>
        <w:tc>
          <w:tcPr>
            <w:tcW w:w="3505" w:type="pct"/>
            <w:vAlign w:val="center"/>
          </w:tcPr>
          <w:p w14:paraId="5A1C28D2">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1、额定电压：AC220V-240V，额定频率：50/60Hz，额定功率：≤45W；尺寸≥2000*1200*800+450;气源：天然气、液化气通用。</w:t>
            </w:r>
          </w:p>
          <w:p w14:paraId="169C39F1">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2、不锈钢板制造，面板、前脸板厚δ≥1.2mm；外旁板、后立板201J1/J4，板厚δ≥1.0mm,龙骨架国标不锈钢方管25*38厚≥1.2mm；衬板电解镀锌钢板厚δ≥1.2mm,灶身双层热轧钢板，隔热层厚≥40,炉膛≥50厚耐高温材料；</w:t>
            </w:r>
          </w:p>
          <w:p w14:paraId="0D2B9497">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3、炉膛采用不锈钢合金材料；配全预混式节能炉头，≤43V直流风机 ，一键启动；</w:t>
            </w:r>
          </w:p>
          <w:p w14:paraId="39948708">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4、产品符合GB35848-2018《商用燃气燃烧器具》要求；所投产品额定热负荷≥35KW*2，热负荷准确度±10%以内，热效率48%以上；</w:t>
            </w:r>
          </w:p>
          <w:p w14:paraId="75118D71">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5、设备有主板保护功能。</w:t>
            </w:r>
          </w:p>
          <w:p w14:paraId="60F015EA">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6、设备有火力功率调节及火力显示</w:t>
            </w:r>
          </w:p>
          <w:p w14:paraId="7F7333F0">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p>
        </w:tc>
      </w:tr>
      <w:tr w14:paraId="3261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106572AA">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c>
          <w:tcPr>
            <w:tcW w:w="1003" w:type="pct"/>
            <w:vAlign w:val="center"/>
          </w:tcPr>
          <w:p w14:paraId="6553A706">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单眼吊汤燃气灶</w:t>
            </w:r>
          </w:p>
        </w:tc>
        <w:tc>
          <w:tcPr>
            <w:tcW w:w="3505" w:type="pct"/>
            <w:vAlign w:val="center"/>
          </w:tcPr>
          <w:p w14:paraId="1519F7DD">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1、气源：天然气、液化气通用。材质：201不锈钢。                                                                      2、熄火保护装置，燃气泄露（天然气、液化气）热电式熄火保护装置，开阀时间≤45s，闭阀时间≤60s。</w:t>
            </w:r>
          </w:p>
          <w:p w14:paraId="44E772D2">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3、所投设备运行噪声≤80dB(A)，多炉头烟气中CO(a=1）含量不应大于0.1%。</w:t>
            </w:r>
          </w:p>
        </w:tc>
      </w:tr>
      <w:tr w14:paraId="0390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36BD293A">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w:t>
            </w:r>
          </w:p>
        </w:tc>
        <w:tc>
          <w:tcPr>
            <w:tcW w:w="1003" w:type="pct"/>
            <w:vAlign w:val="center"/>
          </w:tcPr>
          <w:p w14:paraId="165A6D76">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单头燃气大锅灶</w:t>
            </w:r>
          </w:p>
        </w:tc>
        <w:tc>
          <w:tcPr>
            <w:tcW w:w="3505" w:type="pct"/>
            <w:vAlign w:val="center"/>
          </w:tcPr>
          <w:p w14:paraId="2D0A4104">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1、整体采用304不锈钢板；面板≥1.2mm厚，围板、背板、侧板、后挡板≥1.2mm厚；</w:t>
            </w:r>
          </w:p>
          <w:p w14:paraId="21438D52">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2、内衬台面板、炉膛使用A3黑铁板，并以耐火砖砌实，前沿带溢水排污槽，配挡渣板；</w:t>
            </w:r>
          </w:p>
          <w:p w14:paraId="4CED5180">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3、炉体骨架采用≥40*40*4（mm）角钢加固，立柱采用304≥Φ50*1.2mm不锈钢管内含钢柱，配可调节高度子弹脚；</w:t>
            </w:r>
          </w:p>
          <w:p w14:paraId="2230EBA5">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4、燃烧噪声≦60dB(A)；</w:t>
            </w:r>
          </w:p>
          <w:p w14:paraId="381DFC13">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5、干烟气中CO（a=1）的含量≤0.03%；</w:t>
            </w:r>
          </w:p>
          <w:p w14:paraId="61FBF834">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6、配不锈钢全钢摇摆水龙头；</w:t>
            </w:r>
          </w:p>
          <w:p w14:paraId="3E2A3F66">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7、尺寸：≥1100*1150*800+450</w:t>
            </w:r>
          </w:p>
        </w:tc>
      </w:tr>
      <w:tr w14:paraId="639F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1B28C9FC">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c>
          <w:tcPr>
            <w:tcW w:w="1003" w:type="pct"/>
            <w:vAlign w:val="center"/>
          </w:tcPr>
          <w:p w14:paraId="3A8A8B6D">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热风循环消毒柜</w:t>
            </w:r>
          </w:p>
        </w:tc>
        <w:tc>
          <w:tcPr>
            <w:tcW w:w="3505" w:type="pct"/>
            <w:vAlign w:val="center"/>
          </w:tcPr>
          <w:p w14:paraId="6AF50A1B">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1、双门，全不锈钢外壳；外形参数：≥宽1200*厚600*高1900mm，容积：≥750L,功率：≥ 3000W； </w:t>
            </w:r>
          </w:p>
          <w:p w14:paraId="0CC24BDA">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2、电热方式高温消毒，120℃以上保持时间≥15分钟；在满载状态下内最高温度可达220℃以上；符合 GB17988-2008《食具消毒柜安全和卫生要求》、《消毒技术规范》2002年版的相关要求； </w:t>
            </w:r>
          </w:p>
          <w:p w14:paraId="6881B9F2">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3、不锈钢箱体；导轨式四层快餐盘专用层架；热风循环，精确控温；子弹头柜脚；带独立温度显示器； </w:t>
            </w:r>
          </w:p>
          <w:p w14:paraId="1035D21E">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4、材质材料：箱体、层架等有可能与餐具接触的材料符合GB 4806.1-2016《食品安全国家标准 食品 接触材料及制品通用安全要求》。 </w:t>
            </w:r>
          </w:p>
          <w:p w14:paraId="2F8B9BDC">
            <w:pPr>
              <w:pStyle w:val="2"/>
              <w:rPr>
                <w:rFonts w:hint="default"/>
                <w:lang w:val="en-US" w:eastAsia="zh-CN"/>
              </w:rPr>
            </w:pPr>
          </w:p>
        </w:tc>
      </w:tr>
      <w:tr w14:paraId="3C5C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554E8106">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w:t>
            </w:r>
          </w:p>
        </w:tc>
        <w:tc>
          <w:tcPr>
            <w:tcW w:w="1003" w:type="pct"/>
            <w:vAlign w:val="center"/>
          </w:tcPr>
          <w:p w14:paraId="1DE73209">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刀具消毒柜</w:t>
            </w:r>
          </w:p>
        </w:tc>
        <w:tc>
          <w:tcPr>
            <w:tcW w:w="3505" w:type="pct"/>
            <w:vAlign w:val="center"/>
          </w:tcPr>
          <w:p w14:paraId="4B05C08C">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1、采用304#不锈钢外壳，有机玻璃门；紫外线杀菌，360度无盲区；容量:12把以上厨师刀，小刀数量12把以上，配锁；设有开门保险及消毒时间掣，设有挂墙孔。</w:t>
            </w:r>
          </w:p>
        </w:tc>
      </w:tr>
      <w:tr w14:paraId="0A9A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44D085EF">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8</w:t>
            </w:r>
          </w:p>
        </w:tc>
        <w:tc>
          <w:tcPr>
            <w:tcW w:w="1003" w:type="pct"/>
            <w:vAlign w:val="center"/>
          </w:tcPr>
          <w:p w14:paraId="253ABEDA">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双门燃气蒸饭柜</w:t>
            </w:r>
          </w:p>
        </w:tc>
        <w:tc>
          <w:tcPr>
            <w:tcW w:w="3505" w:type="pct"/>
            <w:vAlign w:val="center"/>
          </w:tcPr>
          <w:p w14:paraId="1F721A81">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1、材质：304不锈钢。气源：天然气。</w:t>
            </w:r>
          </w:p>
          <w:p w14:paraId="35317237">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2、含防干烧功能；</w:t>
            </w:r>
          </w:p>
          <w:p w14:paraId="7A4BC139">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3、设置常明火种，即时熄火保护设计；双联电磁阀分步控制，自动脉冲电子点火，两组燃气开关，无极调速变频，火力大小数字可视化显示屏，故障代码显示；</w:t>
            </w:r>
          </w:p>
          <w:p w14:paraId="6C3A91FA">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4、水胆加玻璃纤维保温材料；抽拉式层架设计，有锁轨道防止层架滑落；含水垢磁化管；</w:t>
            </w:r>
          </w:p>
          <w:p w14:paraId="508174A4">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5、产品符合GB35848-2018《商用燃气燃烧器具》要求；所投产品额定热负荷≥26KW，热负荷准确度±10%以内，热效率90%以上；</w:t>
            </w:r>
          </w:p>
          <w:p w14:paraId="4D587623">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6、含有燃气泄漏模块功能;</w:t>
            </w:r>
          </w:p>
          <w:p w14:paraId="33963BD9">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7、含有风机功率调节及转速显示功能;</w:t>
            </w:r>
          </w:p>
          <w:p w14:paraId="33591CEC">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8、含有火力功率调节及火力显示功能;</w:t>
            </w:r>
          </w:p>
          <w:p w14:paraId="5FB8BD42">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9、含有自动恒温功能;</w:t>
            </w:r>
          </w:p>
          <w:p w14:paraId="2CBC4D6D">
            <w:pPr>
              <w:pStyle w:val="2"/>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10、尺寸：≥1150*950*1920</w:t>
            </w:r>
          </w:p>
          <w:p w14:paraId="3F0B7905">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p>
        </w:tc>
      </w:tr>
      <w:tr w14:paraId="6958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4455E4CF">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9</w:t>
            </w:r>
          </w:p>
        </w:tc>
        <w:tc>
          <w:tcPr>
            <w:tcW w:w="1003" w:type="pct"/>
            <w:vAlign w:val="center"/>
          </w:tcPr>
          <w:p w14:paraId="1F321F40">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三网双刀绞肉机</w:t>
            </w:r>
          </w:p>
        </w:tc>
        <w:tc>
          <w:tcPr>
            <w:tcW w:w="3505" w:type="pct"/>
            <w:vAlign w:val="center"/>
          </w:tcPr>
          <w:p w14:paraId="5B2D0679">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1、整机采用SUS304不锈钢，表面喷砂处理，整机预期与食材接触的部位符合GB 4806.9-2016要求；传动方式为直接传动，无皮带，无链条，扭力大；具有马达过载自动停机自动复位功能；</w:t>
            </w:r>
          </w:p>
          <w:p w14:paraId="7B33678A">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2、采用粗中细三个绞网切削，经大小不同孔板进行分割绞肉，能保持肉的颗粒口感和肉的观感度；</w:t>
            </w:r>
          </w:p>
          <w:p w14:paraId="57786905">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3、防护等级不低于IP65级，可使用高压水枪直接清洗；</w:t>
            </w:r>
          </w:p>
          <w:p w14:paraId="2D4895B1">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4、入料尺寸：≥100mm，切割尺寸：3、4、6、8mm，生产能力：400-600Kg/小时；</w:t>
            </w:r>
          </w:p>
          <w:p w14:paraId="0E74E6DC">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5、电压：380V 三相 50Hz，功率：≤4Kw。</w:t>
            </w:r>
          </w:p>
        </w:tc>
      </w:tr>
      <w:tr w14:paraId="16A2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491" w:type="pct"/>
            <w:vAlign w:val="center"/>
          </w:tcPr>
          <w:p w14:paraId="529952B3">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w:t>
            </w:r>
          </w:p>
        </w:tc>
        <w:tc>
          <w:tcPr>
            <w:tcW w:w="1003" w:type="pct"/>
            <w:vAlign w:val="center"/>
          </w:tcPr>
          <w:p w14:paraId="3607D4A9">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微波炉</w:t>
            </w:r>
          </w:p>
        </w:tc>
        <w:tc>
          <w:tcPr>
            <w:tcW w:w="3505" w:type="pct"/>
            <w:vAlign w:val="center"/>
          </w:tcPr>
          <w:p w14:paraId="304A226D">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1、容量≥30L，外形尺寸≥570*525*360mm </w:t>
            </w:r>
          </w:p>
          <w:p w14:paraId="4FE16399">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2、变频</w:t>
            </w:r>
          </w:p>
          <w:p w14:paraId="33B54125">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3、温度可调  </w:t>
            </w:r>
          </w:p>
          <w:p w14:paraId="5509664F">
            <w:pPr>
              <w:adjustRightInd w:val="0"/>
              <w:snapToGrid w:val="0"/>
              <w:jc w:val="both"/>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4、不锈钢外观材质。</w:t>
            </w:r>
          </w:p>
        </w:tc>
      </w:tr>
      <w:tr w14:paraId="380C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1BF0D588">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11</w:t>
            </w:r>
          </w:p>
        </w:tc>
        <w:tc>
          <w:tcPr>
            <w:tcW w:w="1003" w:type="pct"/>
            <w:vAlign w:val="center"/>
          </w:tcPr>
          <w:p w14:paraId="1F109F9A">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单头电磁炉</w:t>
            </w:r>
          </w:p>
        </w:tc>
        <w:tc>
          <w:tcPr>
            <w:tcW w:w="3505" w:type="pct"/>
            <w:vAlign w:val="center"/>
          </w:tcPr>
          <w:p w14:paraId="7A173980">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1、功率≥20KW</w:t>
            </w:r>
          </w:p>
          <w:p w14:paraId="64128915">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2、材质：不锈钢</w:t>
            </w:r>
          </w:p>
        </w:tc>
      </w:tr>
      <w:tr w14:paraId="0091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23D097E7">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12</w:t>
            </w:r>
          </w:p>
        </w:tc>
        <w:tc>
          <w:tcPr>
            <w:tcW w:w="1003" w:type="pct"/>
            <w:vAlign w:val="center"/>
          </w:tcPr>
          <w:p w14:paraId="4598C38B">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双门立式保鲜柜</w:t>
            </w:r>
          </w:p>
        </w:tc>
        <w:tc>
          <w:tcPr>
            <w:tcW w:w="3505" w:type="pct"/>
            <w:vAlign w:val="center"/>
          </w:tcPr>
          <w:p w14:paraId="4C6DF961">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1、容量≥500L</w:t>
            </w:r>
          </w:p>
          <w:p w14:paraId="1F59B77E">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2、层数≥4层</w:t>
            </w:r>
          </w:p>
          <w:p w14:paraId="2CFCE188">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3、功能：冷藏</w:t>
            </w:r>
          </w:p>
          <w:p w14:paraId="215FFDBD">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t>制冷方式：直冷；尺寸：≥1200×700×1950（mm）；温控类型：机械\数显；温度：+10℃～</w:t>
            </w: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w:t>
            </w:r>
            <w: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t xml:space="preserve">1℃；电源：220V50Hz，功率：≥400W；门数：双门； </w:t>
            </w:r>
          </w:p>
          <w:p w14:paraId="4C2AE306">
            <w:pPr>
              <w:adjustRightInd w:val="0"/>
              <w:snapToGrid w:val="0"/>
              <w:jc w:val="both"/>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5、</w:t>
            </w:r>
            <w: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t xml:space="preserve">产品整机材质达到食品级； </w:t>
            </w:r>
          </w:p>
        </w:tc>
      </w:tr>
      <w:tr w14:paraId="0EC2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76730A99">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13</w:t>
            </w:r>
          </w:p>
        </w:tc>
        <w:tc>
          <w:tcPr>
            <w:tcW w:w="1003" w:type="pct"/>
            <w:vAlign w:val="center"/>
          </w:tcPr>
          <w:p w14:paraId="1D561206">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卧式冰柜</w:t>
            </w:r>
          </w:p>
        </w:tc>
        <w:tc>
          <w:tcPr>
            <w:tcW w:w="3505" w:type="pct"/>
            <w:vAlign w:val="center"/>
          </w:tcPr>
          <w:p w14:paraId="215A3911">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1、容量≥500L</w:t>
            </w:r>
          </w:p>
          <w:p w14:paraId="13331F5A">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2、功能：冷冻与冷藏，冷藏温度：-6～10℃</w:t>
            </w:r>
          </w:p>
          <w:p w14:paraId="398888D8">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冷冻温度：≤-18℃</w:t>
            </w:r>
          </w:p>
          <w:p w14:paraId="1AA84B7E">
            <w:pPr>
              <w:adjustRightInd w:val="0"/>
              <w:snapToGrid w:val="0"/>
              <w:jc w:val="both"/>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3、外形尺寸≥1960*810*900</w:t>
            </w:r>
          </w:p>
        </w:tc>
      </w:tr>
      <w:tr w14:paraId="4AF1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2D728741">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14</w:t>
            </w:r>
          </w:p>
        </w:tc>
        <w:tc>
          <w:tcPr>
            <w:tcW w:w="1003" w:type="pct"/>
            <w:vAlign w:val="center"/>
          </w:tcPr>
          <w:p w14:paraId="10F3A90E">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制冰机</w:t>
            </w:r>
          </w:p>
        </w:tc>
        <w:tc>
          <w:tcPr>
            <w:tcW w:w="3505" w:type="pct"/>
            <w:vAlign w:val="center"/>
          </w:tcPr>
          <w:p w14:paraId="43737B66">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1、冷凝方式：风冷，冰型：方冰，日产冰量≥60KG，储冰量≥25KG。</w:t>
            </w:r>
          </w:p>
        </w:tc>
      </w:tr>
      <w:tr w14:paraId="4638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49756ABE">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15</w:t>
            </w:r>
          </w:p>
        </w:tc>
        <w:tc>
          <w:tcPr>
            <w:tcW w:w="1003" w:type="pct"/>
            <w:vAlign w:val="center"/>
          </w:tcPr>
          <w:p w14:paraId="09D7E6FE">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电炸炉</w:t>
            </w:r>
          </w:p>
        </w:tc>
        <w:tc>
          <w:tcPr>
            <w:tcW w:w="3505" w:type="pct"/>
            <w:vAlign w:val="center"/>
          </w:tcPr>
          <w:p w14:paraId="626252B1">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1、优质不锈钢机身、炉盖、炸筛，原材料不锈钢符合GB 9684-2001对感观、重金属迁移量的要求。</w:t>
            </w:r>
          </w:p>
          <w:p w14:paraId="41FAC5AB">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2、温度（℃）：30~300； </w:t>
            </w:r>
          </w:p>
          <w:p w14:paraId="28BCD6BE">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3、功率（kw）：≥12； </w:t>
            </w:r>
          </w:p>
          <w:p w14:paraId="39A1C278">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4、电压（V）：380； </w:t>
            </w:r>
          </w:p>
          <w:p w14:paraId="5F6ABC21">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5、油缸容量(L)：≥(20±2)+(20±2)； </w:t>
            </w:r>
          </w:p>
          <w:p w14:paraId="25666175">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6、外形尺寸≥800*800*900mm； </w:t>
            </w:r>
          </w:p>
          <w:p w14:paraId="4CC55D51">
            <w:pPr>
              <w:adjustRightInd w:val="0"/>
              <w:snapToGrid w:val="0"/>
              <w:jc w:val="both"/>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7、配置两个不锈钢炸框。</w:t>
            </w:r>
          </w:p>
        </w:tc>
      </w:tr>
      <w:tr w14:paraId="7D98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6B69DF93">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16</w:t>
            </w:r>
          </w:p>
        </w:tc>
        <w:tc>
          <w:tcPr>
            <w:tcW w:w="1003" w:type="pct"/>
            <w:vAlign w:val="center"/>
          </w:tcPr>
          <w:p w14:paraId="2CBF3178">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电饭煲</w:t>
            </w:r>
          </w:p>
        </w:tc>
        <w:tc>
          <w:tcPr>
            <w:tcW w:w="3505" w:type="pct"/>
            <w:vAlign w:val="center"/>
          </w:tcPr>
          <w:p w14:paraId="2B4F98E4">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1、电压：220V，功率：≤4000W；最大煮米量：≥8kg。                                                                                                           </w:t>
            </w:r>
          </w:p>
        </w:tc>
      </w:tr>
      <w:tr w14:paraId="290A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56453CD2">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17</w:t>
            </w:r>
          </w:p>
        </w:tc>
        <w:tc>
          <w:tcPr>
            <w:tcW w:w="1003" w:type="pct"/>
            <w:vAlign w:val="center"/>
          </w:tcPr>
          <w:p w14:paraId="558C0E4E">
            <w:pPr>
              <w:adjustRightInd w:val="0"/>
              <w:snapToGrid w:val="0"/>
              <w:jc w:val="left"/>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四层栅格菜架</w:t>
            </w:r>
          </w:p>
        </w:tc>
        <w:tc>
          <w:tcPr>
            <w:tcW w:w="3505" w:type="pct"/>
            <w:vAlign w:val="center"/>
          </w:tcPr>
          <w:p w14:paraId="1786A64B">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1、层板采用不锈钢管焊接；  </w:t>
            </w:r>
          </w:p>
          <w:p w14:paraId="1C2DE643">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2、立柱采用Φ38*1.2mm不锈钢管加配不锈钢可调子弹脚。</w:t>
            </w:r>
          </w:p>
          <w:p w14:paraId="072C1E39">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产品焊接部位牢固，焊纹均匀一致，不允许有未焊透、裂纹等缺陷。外露焊缝均进行抛光或取色处理，产品抛光后表面纹理应均匀一致，不得有划痕、锤印及烧痕。产品表面粗糙度Ra≤2.5μm，立柱与横梁的垂直度≤1mm/m；</w:t>
            </w:r>
          </w:p>
          <w:p w14:paraId="534EC580">
            <w:pPr>
              <w:pStyle w:val="2"/>
              <w:rPr>
                <w:rFonts w:hint="default"/>
                <w:lang w:val="en-US" w:eastAsia="zh-CN"/>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4、尺寸≥1200*500*1540。</w:t>
            </w:r>
          </w:p>
        </w:tc>
      </w:tr>
      <w:tr w14:paraId="1658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91" w:type="pct"/>
            <w:vAlign w:val="center"/>
          </w:tcPr>
          <w:p w14:paraId="0C6903EC">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18</w:t>
            </w:r>
          </w:p>
        </w:tc>
        <w:tc>
          <w:tcPr>
            <w:tcW w:w="1003" w:type="pct"/>
            <w:vAlign w:val="center"/>
          </w:tcPr>
          <w:p w14:paraId="524C179B">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风幕机</w:t>
            </w:r>
          </w:p>
        </w:tc>
        <w:tc>
          <w:tcPr>
            <w:tcW w:w="3505" w:type="pct"/>
            <w:vAlign w:val="center"/>
          </w:tcPr>
          <w:p w14:paraId="18DD5F52">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1、风速≥11m/s，噪音≤60dB；</w:t>
            </w:r>
          </w:p>
          <w:p w14:paraId="1F299234">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2、产品符合GB 4706.1-2005《家用和类似用途电器的安全 第1部分:通用要求》.GB 4706.27-2008《家用和类似用途电器的安全 第2部分：风扇的特殊要求》。</w:t>
            </w:r>
          </w:p>
          <w:p w14:paraId="7EE511B4">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3、长度1.8m。</w:t>
            </w:r>
          </w:p>
        </w:tc>
      </w:tr>
    </w:tbl>
    <w:p w14:paraId="61C5F79D">
      <w:pPr>
        <w:pStyle w:val="4"/>
        <w:spacing w:before="156" w:beforeLines="50" w:after="156" w:afterLines="50"/>
        <w:ind w:firstLine="422"/>
        <w:rPr>
          <w:rFonts w:hint="eastAsia" w:ascii="仿宋" w:hAnsi="仿宋" w:eastAsia="仿宋" w:cs="仿宋"/>
          <w:b/>
        </w:rPr>
      </w:pPr>
      <w:r>
        <w:rPr>
          <w:rFonts w:hint="eastAsia" w:ascii="仿宋" w:hAnsi="仿宋" w:eastAsia="仿宋" w:cs="仿宋"/>
          <w:b/>
        </w:rPr>
        <w:t>包2：</w:t>
      </w:r>
      <w:r>
        <w:rPr>
          <w:rFonts w:hint="eastAsia" w:ascii="仿宋" w:hAnsi="仿宋" w:eastAsia="仿宋" w:cs="仿宋"/>
          <w:b/>
          <w:lang w:val="en-US" w:eastAsia="zh-CN"/>
        </w:rPr>
        <w:t>其他后勤专用设备拟采购清单</w:t>
      </w:r>
    </w:p>
    <w:tbl>
      <w:tblPr>
        <w:tblStyle w:val="9"/>
        <w:tblW w:w="0" w:type="auto"/>
        <w:tblInd w:w="96" w:type="dxa"/>
        <w:tblLayout w:type="autofit"/>
        <w:tblCellMar>
          <w:top w:w="0" w:type="dxa"/>
          <w:left w:w="108" w:type="dxa"/>
          <w:bottom w:w="0" w:type="dxa"/>
          <w:right w:w="108" w:type="dxa"/>
        </w:tblCellMar>
      </w:tblPr>
      <w:tblGrid>
        <w:gridCol w:w="638"/>
        <w:gridCol w:w="3366"/>
        <w:gridCol w:w="638"/>
        <w:gridCol w:w="1060"/>
        <w:gridCol w:w="1056"/>
        <w:gridCol w:w="1649"/>
      </w:tblGrid>
      <w:tr w14:paraId="5275AEEE">
        <w:tblPrEx>
          <w:tblCellMar>
            <w:top w:w="0" w:type="dxa"/>
            <w:left w:w="108" w:type="dxa"/>
            <w:bottom w:w="0" w:type="dxa"/>
            <w:right w:w="108" w:type="dxa"/>
          </w:tblCellMar>
        </w:tblPrEx>
        <w:trPr>
          <w:trHeight w:val="259" w:hRule="atLeast"/>
        </w:trPr>
        <w:tc>
          <w:tcPr>
            <w:tcW w:w="0" w:type="auto"/>
            <w:tcBorders>
              <w:top w:val="single" w:color="000000" w:sz="8" w:space="0"/>
              <w:left w:val="single" w:color="000000" w:sz="8" w:space="0"/>
              <w:bottom w:val="single" w:color="auto" w:sz="4" w:space="0"/>
              <w:right w:val="single" w:color="000000" w:sz="8" w:space="0"/>
            </w:tcBorders>
            <w:shd w:val="clear" w:color="auto" w:fill="auto"/>
          </w:tcPr>
          <w:p w14:paraId="70698387">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序号</w:t>
            </w:r>
          </w:p>
        </w:tc>
        <w:tc>
          <w:tcPr>
            <w:tcW w:w="0" w:type="auto"/>
            <w:tcBorders>
              <w:top w:val="single" w:color="000000" w:sz="8" w:space="0"/>
              <w:left w:val="single" w:color="000000" w:sz="8" w:space="0"/>
              <w:bottom w:val="single" w:color="auto" w:sz="4" w:space="0"/>
              <w:right w:val="single" w:color="000000" w:sz="8" w:space="0"/>
            </w:tcBorders>
            <w:shd w:val="clear" w:color="auto" w:fill="auto"/>
          </w:tcPr>
          <w:p w14:paraId="5B2EF3DA">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bidi="ar"/>
              </w:rPr>
              <w:t>拟采购清单</w:t>
            </w:r>
          </w:p>
        </w:tc>
        <w:tc>
          <w:tcPr>
            <w:tcW w:w="0" w:type="auto"/>
            <w:tcBorders>
              <w:top w:val="single" w:color="000000" w:sz="8" w:space="0"/>
              <w:left w:val="single" w:color="000000" w:sz="8" w:space="0"/>
              <w:bottom w:val="single" w:color="auto" w:sz="4" w:space="0"/>
              <w:right w:val="single" w:color="000000" w:sz="8" w:space="0"/>
            </w:tcBorders>
            <w:shd w:val="clear" w:color="auto" w:fill="auto"/>
            <w:vAlign w:val="top"/>
          </w:tcPr>
          <w:p w14:paraId="73E0BB97">
            <w:pPr>
              <w:adjustRightInd w:val="0"/>
              <w:snapToGrid w:val="0"/>
              <w:jc w:val="center"/>
              <w:rPr>
                <w:rFonts w:hint="eastAsia" w:ascii="仿宋" w:hAnsi="仿宋" w:eastAsia="仿宋" w:cs="仿宋"/>
                <w:b/>
                <w:kern w:val="2"/>
                <w:sz w:val="21"/>
                <w:szCs w:val="21"/>
                <w:lang w:val="en-US" w:eastAsia="zh-CN" w:bidi="ar"/>
              </w:rPr>
            </w:pPr>
            <w:r>
              <w:rPr>
                <w:rFonts w:hint="eastAsia" w:ascii="仿宋" w:hAnsi="仿宋" w:eastAsia="仿宋" w:cs="仿宋"/>
                <w:b/>
                <w:szCs w:val="21"/>
                <w:lang w:val="en-US" w:eastAsia="zh-CN" w:bidi="ar"/>
              </w:rPr>
              <w:t>单位</w:t>
            </w:r>
          </w:p>
        </w:tc>
        <w:tc>
          <w:tcPr>
            <w:tcW w:w="0" w:type="auto"/>
            <w:tcBorders>
              <w:top w:val="single" w:color="000000" w:sz="8" w:space="0"/>
              <w:left w:val="single" w:color="000000" w:sz="8" w:space="0"/>
              <w:bottom w:val="single" w:color="auto" w:sz="4" w:space="0"/>
              <w:right w:val="single" w:color="000000" w:sz="8" w:space="0"/>
            </w:tcBorders>
            <w:shd w:val="clear" w:color="auto" w:fill="auto"/>
            <w:vAlign w:val="top"/>
          </w:tcPr>
          <w:p w14:paraId="1DAF116E">
            <w:pPr>
              <w:adjustRightInd w:val="0"/>
              <w:snapToGrid w:val="0"/>
              <w:jc w:val="center"/>
              <w:rPr>
                <w:rFonts w:hint="default" w:ascii="仿宋" w:hAnsi="仿宋" w:eastAsia="仿宋" w:cs="仿宋"/>
                <w:b/>
                <w:szCs w:val="21"/>
                <w:lang w:val="en-US" w:eastAsia="zh-CN" w:bidi="ar"/>
              </w:rPr>
            </w:pPr>
            <w:r>
              <w:rPr>
                <w:rFonts w:hint="eastAsia" w:ascii="仿宋" w:hAnsi="仿宋" w:eastAsia="仿宋" w:cs="仿宋"/>
                <w:b/>
                <w:szCs w:val="21"/>
                <w:lang w:bidi="ar"/>
              </w:rPr>
              <w:t>预估数量</w:t>
            </w:r>
          </w:p>
        </w:tc>
        <w:tc>
          <w:tcPr>
            <w:tcW w:w="0" w:type="auto"/>
            <w:tcBorders>
              <w:top w:val="single" w:color="000000" w:sz="8" w:space="0"/>
              <w:left w:val="single" w:color="000000" w:sz="8" w:space="0"/>
              <w:bottom w:val="single" w:color="auto" w:sz="4" w:space="0"/>
              <w:right w:val="single" w:color="000000" w:sz="8" w:space="0"/>
            </w:tcBorders>
            <w:shd w:val="clear" w:color="auto" w:fill="auto"/>
          </w:tcPr>
          <w:p w14:paraId="5CED8F4D">
            <w:pPr>
              <w:adjustRightInd w:val="0"/>
              <w:snapToGrid w:val="0"/>
              <w:jc w:val="center"/>
              <w:rPr>
                <w:rFonts w:hint="eastAsia" w:ascii="仿宋" w:hAnsi="仿宋" w:eastAsia="仿宋" w:cs="仿宋"/>
                <w:b/>
                <w:szCs w:val="21"/>
                <w:lang w:eastAsia="zh-CN" w:bidi="ar"/>
              </w:rPr>
            </w:pPr>
            <w:r>
              <w:rPr>
                <w:rFonts w:hint="eastAsia" w:ascii="仿宋" w:hAnsi="仿宋" w:eastAsia="仿宋" w:cs="仿宋"/>
                <w:b/>
                <w:szCs w:val="21"/>
                <w:lang w:val="en-US" w:eastAsia="zh-CN" w:bidi="ar"/>
              </w:rPr>
              <w:t>单价</w:t>
            </w:r>
          </w:p>
        </w:tc>
        <w:tc>
          <w:tcPr>
            <w:tcW w:w="1649" w:type="dxa"/>
            <w:tcBorders>
              <w:top w:val="single" w:color="000000" w:sz="8" w:space="0"/>
              <w:left w:val="single" w:color="000000" w:sz="8" w:space="0"/>
              <w:bottom w:val="single" w:color="auto" w:sz="4" w:space="0"/>
              <w:right w:val="single" w:color="000000" w:sz="8" w:space="0"/>
            </w:tcBorders>
            <w:shd w:val="clear" w:color="auto" w:fill="auto"/>
          </w:tcPr>
          <w:p w14:paraId="6D71C784">
            <w:pPr>
              <w:adjustRightInd w:val="0"/>
              <w:snapToGrid w:val="0"/>
              <w:jc w:val="center"/>
              <w:rPr>
                <w:rFonts w:hint="eastAsia" w:ascii="仿宋" w:hAnsi="仿宋" w:eastAsia="仿宋" w:cs="仿宋"/>
                <w:b/>
                <w:szCs w:val="21"/>
                <w:lang w:bidi="ar"/>
              </w:rPr>
            </w:pPr>
            <w:r>
              <w:rPr>
                <w:rFonts w:hint="eastAsia" w:ascii="仿宋" w:hAnsi="仿宋" w:eastAsia="仿宋" w:cs="仿宋"/>
                <w:b/>
                <w:szCs w:val="21"/>
                <w:lang w:val="en-US" w:eastAsia="zh-CN" w:bidi="ar"/>
              </w:rPr>
              <w:t>金额</w:t>
            </w:r>
            <w:r>
              <w:rPr>
                <w:rFonts w:hint="eastAsia" w:ascii="仿宋" w:hAnsi="仿宋" w:eastAsia="仿宋" w:cs="仿宋"/>
                <w:b/>
                <w:szCs w:val="21"/>
                <w:lang w:bidi="ar"/>
              </w:rPr>
              <w:t>（元）</w:t>
            </w:r>
          </w:p>
        </w:tc>
      </w:tr>
      <w:tr w14:paraId="49366F01">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05312E">
            <w:pPr>
              <w:adjustRightInd w:val="0"/>
              <w:snapToGrid w:val="0"/>
              <w:jc w:val="center"/>
              <w:rPr>
                <w:rFonts w:hint="eastAsia" w:ascii="仿宋" w:hAnsi="仿宋" w:eastAsia="仿宋" w:cs="仿宋"/>
                <w:szCs w:val="21"/>
                <w:lang w:bidi="ar"/>
              </w:rPr>
            </w:pPr>
            <w:r>
              <w:rPr>
                <w:rFonts w:hint="eastAsia" w:ascii="仿宋" w:hAnsi="仿宋" w:eastAsia="仿宋" w:cs="仿宋"/>
                <w:szCs w:val="21"/>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6647DE">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红外热成像仪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34045F">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8FA96E">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3CAD48">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38000.00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BA220A0">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38,000.00 </w:t>
            </w:r>
          </w:p>
        </w:tc>
      </w:tr>
      <w:tr w14:paraId="0CBDEC92">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EA0156">
            <w:pPr>
              <w:adjustRightInd w:val="0"/>
              <w:snapToGrid w:val="0"/>
              <w:jc w:val="center"/>
              <w:rPr>
                <w:rFonts w:hint="eastAsia" w:ascii="仿宋" w:hAnsi="仿宋" w:eastAsia="仿宋" w:cs="仿宋"/>
                <w:szCs w:val="21"/>
                <w:lang w:val="en-US" w:eastAsia="zh-CN" w:bidi="ar"/>
              </w:rPr>
            </w:pPr>
            <w:r>
              <w:rPr>
                <w:rFonts w:hint="eastAsia" w:ascii="仿宋" w:hAnsi="仿宋" w:eastAsia="仿宋" w:cs="仿宋"/>
                <w:szCs w:val="21"/>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B8C57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伸缩宽带绿篱机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FE854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899CEB">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B3D56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3500.00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5775E94">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7,000.00 </w:t>
            </w:r>
          </w:p>
        </w:tc>
      </w:tr>
      <w:tr w14:paraId="51B8177B">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1517AF">
            <w:pPr>
              <w:adjustRightInd w:val="0"/>
              <w:snapToGrid w:val="0"/>
              <w:jc w:val="center"/>
              <w:rPr>
                <w:rFonts w:hint="eastAsia" w:ascii="仿宋" w:hAnsi="仿宋" w:eastAsia="仿宋" w:cs="仿宋"/>
                <w:szCs w:val="21"/>
                <w:lang w:val="en-US" w:eastAsia="zh-CN" w:bidi="ar"/>
              </w:rPr>
            </w:pPr>
            <w:r>
              <w:rPr>
                <w:rFonts w:hint="eastAsia" w:ascii="仿宋" w:hAnsi="仿宋" w:eastAsia="仿宋" w:cs="仿宋"/>
                <w:szCs w:val="21"/>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08810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电动环卫清运车（加简易车篷）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3489FC">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2451B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56D36B">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5600.00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B8EC8BE">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22,400.00 </w:t>
            </w:r>
          </w:p>
        </w:tc>
      </w:tr>
      <w:tr w14:paraId="2D0543B4">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5D7EC8">
            <w:pPr>
              <w:adjustRightInd w:val="0"/>
              <w:snapToGrid w:val="0"/>
              <w:jc w:val="center"/>
              <w:rPr>
                <w:rFonts w:hint="eastAsia" w:ascii="仿宋" w:hAnsi="仿宋" w:eastAsia="仿宋" w:cs="仿宋"/>
                <w:szCs w:val="21"/>
                <w:lang w:val="en-US" w:eastAsia="zh-CN" w:bidi="ar"/>
              </w:rPr>
            </w:pPr>
            <w:r>
              <w:rPr>
                <w:rFonts w:hint="eastAsia" w:ascii="仿宋" w:hAnsi="仿宋" w:eastAsia="仿宋" w:cs="仿宋"/>
                <w:szCs w:val="21"/>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7986CF">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充电式绿篱机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A60244">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1CA0C4">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C72A1A">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3800.00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9144B8F">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22,800.00 </w:t>
            </w:r>
          </w:p>
        </w:tc>
      </w:tr>
      <w:tr w14:paraId="40C9A385">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AC7079">
            <w:pPr>
              <w:adjustRightInd w:val="0"/>
              <w:snapToGrid w:val="0"/>
              <w:jc w:val="center"/>
              <w:rPr>
                <w:rStyle w:val="13"/>
                <w:rFonts w:hint="eastAsia" w:ascii="仿宋" w:hAnsi="仿宋" w:eastAsia="仿宋" w:cs="仿宋"/>
                <w:b w:val="0"/>
                <w:bCs w:val="0"/>
                <w:sz w:val="21"/>
                <w:szCs w:val="21"/>
                <w:lang w:eastAsia="zh-CN" w:bidi="ar"/>
              </w:rPr>
            </w:pPr>
            <w:r>
              <w:rPr>
                <w:rStyle w:val="13"/>
                <w:rFonts w:hint="eastAsia" w:ascii="仿宋" w:hAnsi="仿宋" w:eastAsia="仿宋" w:cs="仿宋"/>
                <w:b w:val="0"/>
                <w:sz w:val="21"/>
                <w:szCs w:val="21"/>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58DA78">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草坪修剪机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19BFB3">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5F2180">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259C80">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3900.00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49F1F03D">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42,900.00 </w:t>
            </w:r>
          </w:p>
        </w:tc>
      </w:tr>
      <w:tr w14:paraId="475C5726">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3B1966">
            <w:pPr>
              <w:adjustRightInd w:val="0"/>
              <w:snapToGrid w:val="0"/>
              <w:jc w:val="center"/>
              <w:rPr>
                <w:rStyle w:val="13"/>
                <w:rFonts w:hint="eastAsia" w:ascii="仿宋" w:hAnsi="仿宋" w:eastAsia="仿宋" w:cs="仿宋"/>
                <w:b w:val="0"/>
                <w:bCs w:val="0"/>
                <w:sz w:val="21"/>
                <w:szCs w:val="21"/>
                <w:lang w:eastAsia="zh-CN" w:bidi="ar"/>
              </w:rPr>
            </w:pPr>
            <w:r>
              <w:rPr>
                <w:rStyle w:val="13"/>
                <w:rFonts w:hint="eastAsia" w:ascii="仿宋" w:hAnsi="仿宋" w:eastAsia="仿宋" w:cs="仿宋"/>
                <w:b w:val="0"/>
                <w:sz w:val="21"/>
                <w:szCs w:val="21"/>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21435D">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绿篱修剪机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45C4BB">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D2D28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44BDEA">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3400.00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8047F9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6,800.00 </w:t>
            </w:r>
          </w:p>
        </w:tc>
      </w:tr>
      <w:tr w14:paraId="5A727AE6">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8CC81C">
            <w:pPr>
              <w:adjustRightInd w:val="0"/>
              <w:snapToGrid w:val="0"/>
              <w:jc w:val="center"/>
              <w:rPr>
                <w:rStyle w:val="13"/>
                <w:rFonts w:hint="eastAsia" w:ascii="仿宋" w:hAnsi="仿宋" w:eastAsia="仿宋" w:cs="仿宋"/>
                <w:b w:val="0"/>
                <w:bCs w:val="0"/>
                <w:sz w:val="21"/>
                <w:szCs w:val="21"/>
                <w:lang w:eastAsia="zh-CN" w:bidi="ar"/>
              </w:rPr>
            </w:pPr>
            <w:r>
              <w:rPr>
                <w:rStyle w:val="13"/>
                <w:rFonts w:hint="eastAsia" w:ascii="仿宋" w:hAnsi="仿宋" w:eastAsia="仿宋" w:cs="仿宋"/>
                <w:b w:val="0"/>
                <w:sz w:val="21"/>
                <w:szCs w:val="21"/>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1AC0C8">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割灌机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66AE7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4484E8">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6D5CAA">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2900.00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F47DA25">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5,800.00 </w:t>
            </w:r>
          </w:p>
        </w:tc>
      </w:tr>
      <w:tr w14:paraId="79446B6B">
        <w:tblPrEx>
          <w:tblCellMar>
            <w:top w:w="0" w:type="dxa"/>
            <w:left w:w="108" w:type="dxa"/>
            <w:bottom w:w="0" w:type="dxa"/>
            <w:right w:w="108" w:type="dxa"/>
          </w:tblCellMar>
        </w:tblPrEx>
        <w:trPr>
          <w:trHeight w:val="30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73E6A5">
            <w:pPr>
              <w:adjustRightInd w:val="0"/>
              <w:snapToGrid w:val="0"/>
              <w:jc w:val="center"/>
              <w:rPr>
                <w:rStyle w:val="13"/>
                <w:rFonts w:hint="eastAsia" w:ascii="仿宋" w:hAnsi="仿宋" w:eastAsia="仿宋" w:cs="仿宋"/>
                <w:b w:val="0"/>
                <w:bCs w:val="0"/>
                <w:sz w:val="21"/>
                <w:szCs w:val="21"/>
                <w:lang w:eastAsia="zh-CN" w:bidi="ar"/>
              </w:rPr>
            </w:pPr>
            <w:r>
              <w:rPr>
                <w:rStyle w:val="13"/>
                <w:rFonts w:hint="eastAsia" w:ascii="仿宋" w:hAnsi="仿宋" w:eastAsia="仿宋" w:cs="仿宋"/>
                <w:b w:val="0"/>
                <w:sz w:val="21"/>
                <w:szCs w:val="21"/>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166388">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高枝油锯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01DE6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E8191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827E3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3600.00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D8CA24D">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7,200.00 </w:t>
            </w:r>
          </w:p>
        </w:tc>
      </w:tr>
      <w:tr w14:paraId="4A656047">
        <w:tblPrEx>
          <w:tblCellMar>
            <w:top w:w="0" w:type="dxa"/>
            <w:left w:w="108" w:type="dxa"/>
            <w:bottom w:w="0" w:type="dxa"/>
            <w:right w:w="108" w:type="dxa"/>
          </w:tblCellMar>
        </w:tblPrEx>
        <w:trPr>
          <w:trHeight w:val="25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12C386">
            <w:pPr>
              <w:adjustRightInd w:val="0"/>
              <w:snapToGrid w:val="0"/>
              <w:jc w:val="center"/>
              <w:rPr>
                <w:rStyle w:val="13"/>
                <w:rFonts w:hint="eastAsia"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21E21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油锯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2BA82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D344D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72D50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2600.00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2D244C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5,200.00 </w:t>
            </w:r>
          </w:p>
        </w:tc>
      </w:tr>
      <w:tr w14:paraId="5258569C">
        <w:tblPrEx>
          <w:tblCellMar>
            <w:top w:w="0" w:type="dxa"/>
            <w:left w:w="108" w:type="dxa"/>
            <w:bottom w:w="0" w:type="dxa"/>
            <w:right w:w="108" w:type="dxa"/>
          </w:tblCellMar>
        </w:tblPrEx>
        <w:trPr>
          <w:trHeight w:val="25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1257AA">
            <w:pPr>
              <w:adjustRightInd w:val="0"/>
              <w:snapToGrid w:val="0"/>
              <w:jc w:val="center"/>
              <w:rPr>
                <w:rStyle w:val="13"/>
                <w:rFonts w:hint="default"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5D47A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吹风机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1BB51E">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5B5BF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CF4A68">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1600.00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F31B45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6,400.00 </w:t>
            </w:r>
          </w:p>
        </w:tc>
      </w:tr>
      <w:tr w14:paraId="24A55E8B">
        <w:tblPrEx>
          <w:tblCellMar>
            <w:top w:w="0" w:type="dxa"/>
            <w:left w:w="108" w:type="dxa"/>
            <w:bottom w:w="0" w:type="dxa"/>
            <w:right w:w="108" w:type="dxa"/>
          </w:tblCellMar>
        </w:tblPrEx>
        <w:trPr>
          <w:trHeight w:val="25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AD4F44">
            <w:pPr>
              <w:adjustRightInd w:val="0"/>
              <w:snapToGrid w:val="0"/>
              <w:jc w:val="center"/>
              <w:rPr>
                <w:rStyle w:val="13"/>
                <w:rFonts w:hint="default" w:ascii="仿宋" w:hAnsi="仿宋" w:eastAsia="仿宋" w:cs="仿宋"/>
                <w:b w:val="0"/>
                <w:sz w:val="21"/>
                <w:szCs w:val="21"/>
                <w:lang w:val="en-US" w:eastAsia="zh-CN" w:bidi="ar"/>
              </w:rPr>
            </w:pPr>
            <w:r>
              <w:rPr>
                <w:rStyle w:val="13"/>
                <w:rFonts w:hint="eastAsia" w:ascii="仿宋" w:hAnsi="仿宋" w:eastAsia="仿宋" w:cs="仿宋"/>
                <w:b w:val="0"/>
                <w:sz w:val="21"/>
                <w:szCs w:val="21"/>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DC8A7E">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电动三轮车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3319B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F0E05F">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EDA220">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8400.00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45257D0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16,800.00 </w:t>
            </w:r>
          </w:p>
        </w:tc>
      </w:tr>
      <w:tr w14:paraId="13366D13">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4D42CC">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540464">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自卸式垃圾清运车（电动三轮车）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06C29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DB08D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A2EB2D">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15000.00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E742CB5">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30,000.00 </w:t>
            </w:r>
          </w:p>
        </w:tc>
      </w:tr>
      <w:tr w14:paraId="687BD9DC">
        <w:tblPrEx>
          <w:tblCellMar>
            <w:top w:w="0" w:type="dxa"/>
            <w:left w:w="108" w:type="dxa"/>
            <w:bottom w:w="0" w:type="dxa"/>
            <w:right w:w="108" w:type="dxa"/>
          </w:tblCellMar>
        </w:tblPrEx>
        <w:trPr>
          <w:trHeight w:val="31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96363B">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BA0FB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四轮巡逻车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6D5236">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6561B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23F85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31000.00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2AA1CFE">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31,000.00 </w:t>
            </w:r>
          </w:p>
        </w:tc>
      </w:tr>
      <w:tr w14:paraId="2C5B456F">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802E44">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DF9B2D">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手枪钻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26977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BAA19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4F6EED">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1000.00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792C27FA">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2,000.00 </w:t>
            </w:r>
          </w:p>
        </w:tc>
      </w:tr>
      <w:tr w14:paraId="7360D0CB">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7A7150">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8ECECD">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9DA70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0B05A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409EDA">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2000.00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7A11B4D">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4,000.00 </w:t>
            </w:r>
          </w:p>
        </w:tc>
      </w:tr>
      <w:tr w14:paraId="59A834EE">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B66CA3">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50BD5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激光测距仪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9AF323">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D18868">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89D9F1">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1000.00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4589C2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1,000.00 </w:t>
            </w:r>
          </w:p>
        </w:tc>
      </w:tr>
      <w:tr w14:paraId="5FC992C7">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6A5936">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1B679B">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平板电脑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60EE0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A61BB8">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856484">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1400.00</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2AA4160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8,400.00 </w:t>
            </w:r>
          </w:p>
        </w:tc>
      </w:tr>
      <w:tr w14:paraId="3EF7F073">
        <w:tblPrEx>
          <w:tblCellMar>
            <w:top w:w="0" w:type="dxa"/>
            <w:left w:w="108" w:type="dxa"/>
            <w:bottom w:w="0" w:type="dxa"/>
            <w:right w:w="108" w:type="dxa"/>
          </w:tblCellMar>
        </w:tblPrEx>
        <w:trPr>
          <w:trHeight w:val="28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C5F3F4">
            <w:pPr>
              <w:adjustRightInd w:val="0"/>
              <w:snapToGrid w:val="0"/>
              <w:jc w:val="center"/>
              <w:rPr>
                <w:rStyle w:val="13"/>
                <w:rFonts w:hint="default" w:ascii="仿宋" w:hAnsi="仿宋" w:eastAsia="仿宋" w:cs="仿宋"/>
                <w:b w:val="0"/>
                <w:bCs w:val="0"/>
                <w:sz w:val="21"/>
                <w:szCs w:val="21"/>
                <w:lang w:val="en-US" w:eastAsia="zh-CN" w:bidi="ar"/>
              </w:rPr>
            </w:pPr>
            <w:r>
              <w:rPr>
                <w:rStyle w:val="13"/>
                <w:rFonts w:hint="eastAsia" w:ascii="仿宋" w:hAnsi="仿宋" w:eastAsia="仿宋" w:cs="仿宋"/>
                <w:b w:val="0"/>
                <w:bCs w:val="0"/>
                <w:sz w:val="21"/>
                <w:szCs w:val="21"/>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57140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洗车机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3A601B">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1387AD">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D39A1E">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2300.00 </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86E918E">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2,300.00 </w:t>
            </w:r>
          </w:p>
        </w:tc>
      </w:tr>
      <w:tr w14:paraId="60CD2E08">
        <w:tblPrEx>
          <w:tblCellMar>
            <w:top w:w="0" w:type="dxa"/>
            <w:left w:w="108" w:type="dxa"/>
            <w:bottom w:w="0" w:type="dxa"/>
            <w:right w:w="108" w:type="dxa"/>
          </w:tblCellMar>
        </w:tblPrEx>
        <w:trPr>
          <w:trHeight w:val="284" w:hRule="atLeast"/>
        </w:trPr>
        <w:tc>
          <w:tcPr>
            <w:tcW w:w="67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452E6B">
            <w:pPr>
              <w:adjustRightInd w:val="0"/>
              <w:snapToGrid w:val="0"/>
              <w:jc w:val="center"/>
              <w:rPr>
                <w:rStyle w:val="13"/>
                <w:rFonts w:hint="eastAsia" w:ascii="仿宋" w:hAnsi="仿宋" w:eastAsia="仿宋" w:cs="仿宋"/>
                <w:b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color w:val="000000" w:themeColor="text1"/>
                <w:sz w:val="21"/>
                <w:szCs w:val="21"/>
                <w:lang w:bidi="ar"/>
                <w14:textFill>
                  <w14:solidFill>
                    <w14:schemeClr w14:val="tx1"/>
                  </w14:solidFill>
                </w14:textFill>
              </w:rPr>
              <w:t>合计</w:t>
            </w:r>
            <w:r>
              <w:rPr>
                <w:rStyle w:val="13"/>
                <w:rFonts w:hint="eastAsia" w:ascii="仿宋" w:hAnsi="仿宋" w:eastAsia="仿宋" w:cs="仿宋"/>
                <w:b w:val="0"/>
                <w:color w:val="000000" w:themeColor="text1"/>
                <w:sz w:val="21"/>
                <w:szCs w:val="21"/>
                <w:lang w:val="en-US" w:eastAsia="zh-CN" w:bidi="ar"/>
                <w14:textFill>
                  <w14:solidFill>
                    <w14:schemeClr w14:val="tx1"/>
                  </w14:solidFill>
                </w14:textFill>
              </w:rPr>
              <w:t>金额（元）</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0FB82EFF">
            <w:pPr>
              <w:adjustRightInd w:val="0"/>
              <w:snapToGrid w:val="0"/>
              <w:jc w:val="center"/>
              <w:rPr>
                <w:rStyle w:val="13"/>
                <w:rFonts w:hint="default" w:ascii="仿宋" w:hAnsi="仿宋" w:eastAsia="仿宋" w:cs="仿宋"/>
                <w:b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color w:val="000000" w:themeColor="text1"/>
                <w:sz w:val="21"/>
                <w:szCs w:val="21"/>
                <w:lang w:val="en-US" w:eastAsia="zh-CN" w:bidi="ar"/>
                <w14:textFill>
                  <w14:solidFill>
                    <w14:schemeClr w14:val="tx1"/>
                  </w14:solidFill>
                </w14:textFill>
              </w:rPr>
              <w:t>260,000.00</w:t>
            </w:r>
          </w:p>
        </w:tc>
      </w:tr>
    </w:tbl>
    <w:p w14:paraId="76322F08">
      <w:pPr>
        <w:spacing w:line="360" w:lineRule="auto"/>
        <w:ind w:firstLine="422" w:firstLineChars="200"/>
        <w:rPr>
          <w:rFonts w:hint="default" w:ascii="仿宋" w:hAnsi="仿宋" w:eastAsia="仿宋" w:cs="仿宋"/>
          <w:b/>
          <w:lang w:val="en-US" w:eastAsia="zh-CN"/>
        </w:rPr>
      </w:pPr>
      <w:r>
        <w:rPr>
          <w:rFonts w:hint="eastAsia" w:ascii="仿宋" w:hAnsi="仿宋" w:eastAsia="仿宋" w:cs="仿宋"/>
          <w:b/>
          <w:lang w:val="en-US" w:eastAsia="zh-CN"/>
        </w:rPr>
        <w:t>包2：主要技术参数：</w:t>
      </w:r>
    </w:p>
    <w:tbl>
      <w:tblPr>
        <w:tblStyle w:val="10"/>
        <w:tblW w:w="84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31"/>
        <w:gridCol w:w="5994"/>
      </w:tblGrid>
      <w:tr w14:paraId="3758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CB1F40E">
            <w:pPr>
              <w:adjustRightInd w:val="0"/>
              <w:snapToGrid w:val="0"/>
              <w:rPr>
                <w:rFonts w:hint="eastAsia" w:ascii="仿宋" w:hAnsi="仿宋" w:eastAsia="仿宋" w:cs="仿宋"/>
                <w:b/>
                <w:kern w:val="0"/>
                <w:sz w:val="20"/>
                <w:szCs w:val="20"/>
              </w:rPr>
            </w:pPr>
            <w:r>
              <w:rPr>
                <w:rFonts w:hint="eastAsia" w:ascii="仿宋" w:hAnsi="仿宋" w:eastAsia="仿宋" w:cs="仿宋"/>
                <w:b/>
                <w:kern w:val="0"/>
                <w:sz w:val="20"/>
                <w:szCs w:val="20"/>
              </w:rPr>
              <w:t>序号</w:t>
            </w:r>
          </w:p>
        </w:tc>
        <w:tc>
          <w:tcPr>
            <w:tcW w:w="1731" w:type="dxa"/>
          </w:tcPr>
          <w:p w14:paraId="4E40DFE2">
            <w:pPr>
              <w:adjustRightInd w:val="0"/>
              <w:snapToGrid w:val="0"/>
              <w:rPr>
                <w:rFonts w:hint="eastAsia" w:ascii="仿宋" w:hAnsi="仿宋" w:eastAsia="仿宋" w:cs="仿宋"/>
                <w:b/>
                <w:kern w:val="0"/>
                <w:sz w:val="20"/>
                <w:szCs w:val="20"/>
              </w:rPr>
            </w:pPr>
            <w:r>
              <w:rPr>
                <w:rFonts w:hint="eastAsia" w:ascii="仿宋" w:hAnsi="仿宋" w:eastAsia="仿宋" w:cs="仿宋"/>
                <w:b/>
                <w:kern w:val="0"/>
                <w:sz w:val="20"/>
                <w:szCs w:val="20"/>
                <w:lang w:val="en-US" w:eastAsia="zh-CN"/>
              </w:rPr>
              <w:t>品目</w:t>
            </w:r>
          </w:p>
        </w:tc>
        <w:tc>
          <w:tcPr>
            <w:tcW w:w="5994" w:type="dxa"/>
          </w:tcPr>
          <w:p w14:paraId="7105ADBD">
            <w:pPr>
              <w:adjustRightInd w:val="0"/>
              <w:snapToGrid w:val="0"/>
              <w:rPr>
                <w:rFonts w:hint="eastAsia" w:ascii="仿宋" w:hAnsi="仿宋" w:eastAsia="仿宋" w:cs="仿宋"/>
                <w:b/>
                <w:kern w:val="0"/>
                <w:sz w:val="20"/>
                <w:szCs w:val="20"/>
              </w:rPr>
            </w:pPr>
            <w:r>
              <w:rPr>
                <w:rFonts w:hint="eastAsia" w:ascii="仿宋" w:hAnsi="仿宋" w:eastAsia="仿宋" w:cs="仿宋"/>
                <w:b/>
                <w:kern w:val="0"/>
                <w:sz w:val="20"/>
                <w:szCs w:val="20"/>
              </w:rPr>
              <w:t>技术参数与性能指标</w:t>
            </w:r>
          </w:p>
        </w:tc>
      </w:tr>
      <w:tr w14:paraId="5E1B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1EDCAD33">
            <w:pPr>
              <w:adjustRightInd w:val="0"/>
              <w:snapToGrid w:val="0"/>
              <w:jc w:val="center"/>
              <w:rPr>
                <w:rFonts w:hint="eastAsia" w:ascii="仿宋" w:hAnsi="仿宋" w:eastAsia="仿宋" w:cs="仿宋"/>
                <w:kern w:val="0"/>
                <w:sz w:val="20"/>
                <w:szCs w:val="20"/>
                <w:lang w:eastAsia="zh-Hans"/>
              </w:rPr>
            </w:pPr>
            <w:r>
              <w:rPr>
                <w:rFonts w:hint="eastAsia" w:ascii="仿宋" w:hAnsi="仿宋" w:eastAsia="仿宋" w:cs="仿宋"/>
                <w:kern w:val="0"/>
                <w:sz w:val="20"/>
                <w:szCs w:val="20"/>
              </w:rPr>
              <w:t>1</w:t>
            </w:r>
          </w:p>
        </w:tc>
        <w:tc>
          <w:tcPr>
            <w:tcW w:w="1731" w:type="dxa"/>
            <w:vAlign w:val="center"/>
          </w:tcPr>
          <w:p w14:paraId="561334C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红外热成像仪</w:t>
            </w:r>
          </w:p>
        </w:tc>
        <w:tc>
          <w:tcPr>
            <w:tcW w:w="5994" w:type="dxa"/>
            <w:vAlign w:val="top"/>
          </w:tcPr>
          <w:p w14:paraId="35302719">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红外分辨率：≥320*240；IFOV：≥1.86mRad；视场角：≥34.1°*25.6°；聚焦距离: ≥46cm；聚焦方式：手动对焦；无线连接：有；兼容APP：有；可选软件：有；红外与可见光融合技术：有；连续融合模式：有；画中画：有；显示：≥3.5英寸（8.9cm横屏）触投屏，320*240LCD；单手操作；目标温度30度时热灵敏度≤0.04°C；最小跨度（手动模式）：约2.5°C；最小跨度（自动模式）：约5°C；帧频：约9HZ；激光指示：是；热灵敏度：≤0.04°C；内置数码相机（可见光）：≥500万像素；内部储存：≥4G内存；电池：锂电池，可充电；测量温度：-20°C至400°C；温度测量精度：±2°C；通过屏幕进行反射背景温度补偿及透射率修正：有；电池：锂电池，连续≥4小时以上；颜射报警：高温、低温、等温线；红外波长：7.5-14μm；中心点温度测量：有；尺寸：约26.7cm*10.1cm*14.5cm；重量：≤0.72KG；防护等级≥IP54；语言支持：简体中、繁体中文、英文、法文、德文、意大利文、日文等。</w:t>
            </w:r>
          </w:p>
        </w:tc>
      </w:tr>
      <w:tr w14:paraId="4DB0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67C8583F">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1731" w:type="dxa"/>
            <w:vAlign w:val="center"/>
          </w:tcPr>
          <w:p w14:paraId="3FE3D6E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伸缩宽带绿篱机</w:t>
            </w:r>
          </w:p>
        </w:tc>
        <w:tc>
          <w:tcPr>
            <w:tcW w:w="5994" w:type="dxa"/>
            <w:vAlign w:val="top"/>
          </w:tcPr>
          <w:p w14:paraId="0A5107CC">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工作电压：≦36V，电池包容量：≧7.8Ah,净重：≦4.6kg，功率：≥1100W，转速：≧2150转/分，续航：≥6小时，充电时间：≦3小时，刀片长度：≧630mm，切割直径：≧35mm。</w:t>
            </w:r>
          </w:p>
        </w:tc>
      </w:tr>
      <w:tr w14:paraId="02B3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23F5D58C">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w:t>
            </w:r>
          </w:p>
        </w:tc>
        <w:tc>
          <w:tcPr>
            <w:tcW w:w="1731" w:type="dxa"/>
            <w:vAlign w:val="center"/>
          </w:tcPr>
          <w:p w14:paraId="3C04CEE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电动环卫清运车（加简易车篷）</w:t>
            </w:r>
          </w:p>
        </w:tc>
        <w:tc>
          <w:tcPr>
            <w:tcW w:w="5994" w:type="dxa"/>
            <w:vAlign w:val="top"/>
          </w:tcPr>
          <w:p w14:paraId="74858D48">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箱体：容积≥500L，采用</w:t>
            </w:r>
            <w:r>
              <w:rPr>
                <w:rStyle w:val="13"/>
                <w:rFonts w:hint="eastAsia" w:ascii="仿宋" w:hAnsi="仿宋" w:eastAsia="仿宋" w:cs="仿宋"/>
                <w:b w:val="0"/>
                <w:bCs w:val="0"/>
                <w:color w:val="000000" w:themeColor="text1"/>
                <w:sz w:val="21"/>
                <w:szCs w:val="21"/>
                <w:lang w:val="en-US" w:eastAsia="zh-Hans" w:bidi="ar"/>
                <w14:textFill>
                  <w14:solidFill>
                    <w14:schemeClr w14:val="tx1"/>
                  </w14:solidFill>
                </w14:textFill>
              </w:rPr>
              <w:t>聚丙烯（PP）复合材料</w:t>
            </w: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一次性注塑成型，全封闭结构，可避免作业中垃圾滴漏飞扬；</w:t>
            </w:r>
          </w:p>
          <w:p w14:paraId="3E1DC561">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电池电机：</w:t>
            </w:r>
            <w:r>
              <w:rPr>
                <w:rStyle w:val="13"/>
                <w:rFonts w:hint="default" w:ascii="仿宋" w:hAnsi="仿宋" w:eastAsia="仿宋" w:cs="仿宋"/>
                <w:b w:val="0"/>
                <w:bCs w:val="0"/>
                <w:color w:val="000000" w:themeColor="text1"/>
                <w:sz w:val="21"/>
                <w:szCs w:val="21"/>
                <w:lang w:val="en-US" w:eastAsia="zh-Hans" w:bidi="ar"/>
                <w14:textFill>
                  <w14:solidFill>
                    <w14:schemeClr w14:val="tx1"/>
                  </w14:solidFill>
                </w14:textFill>
              </w:rPr>
              <w:t>免维护蓄电池组</w:t>
            </w:r>
            <w: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t>60V  32Ah.电机≥1200W.</w:t>
            </w:r>
          </w:p>
          <w:p w14:paraId="3821FE0F">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整车工艺：酸洗</w:t>
            </w:r>
            <w:r>
              <w:rPr>
                <w:rStyle w:val="13"/>
                <w:rFonts w:hint="eastAsia" w:ascii="仿宋" w:hAnsi="仿宋" w:eastAsia="仿宋" w:cs="仿宋"/>
                <w:b w:val="0"/>
                <w:bCs w:val="0"/>
                <w:color w:val="000000" w:themeColor="text1"/>
                <w:sz w:val="21"/>
                <w:szCs w:val="21"/>
                <w:lang w:val="en-US" w:eastAsia="zh-Hans" w:bidi="ar"/>
                <w14:textFill>
                  <w14:solidFill>
                    <w14:schemeClr w14:val="tx1"/>
                  </w14:solidFill>
                </w14:textFill>
              </w:rPr>
              <w:t>陶化+阴极</w:t>
            </w: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电泳+</w:t>
            </w:r>
            <w:r>
              <w:rPr>
                <w:rStyle w:val="13"/>
                <w:rFonts w:hint="eastAsia" w:ascii="仿宋" w:hAnsi="仿宋" w:eastAsia="仿宋" w:cs="仿宋"/>
                <w:b w:val="0"/>
                <w:bCs w:val="0"/>
                <w:color w:val="000000" w:themeColor="text1"/>
                <w:sz w:val="21"/>
                <w:szCs w:val="21"/>
                <w:lang w:val="en-US" w:eastAsia="zh-Hans" w:bidi="ar"/>
                <w14:textFill>
                  <w14:solidFill>
                    <w14:schemeClr w14:val="tx1"/>
                  </w14:solidFill>
                </w14:textFill>
              </w:rPr>
              <w:t>高温智能</w:t>
            </w: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烤漆。</w:t>
            </w:r>
          </w:p>
        </w:tc>
      </w:tr>
      <w:tr w14:paraId="49BC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43D3FE3B">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w:t>
            </w:r>
          </w:p>
        </w:tc>
        <w:tc>
          <w:tcPr>
            <w:tcW w:w="1731" w:type="dxa"/>
            <w:vAlign w:val="center"/>
          </w:tcPr>
          <w:p w14:paraId="3D29CDCD">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充电式绿篱机</w:t>
            </w:r>
          </w:p>
        </w:tc>
        <w:tc>
          <w:tcPr>
            <w:tcW w:w="5994" w:type="dxa"/>
            <w:vAlign w:val="top"/>
          </w:tcPr>
          <w:p w14:paraId="624B1CDB">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池：锂离子电池，功率：≧1.6kw电压：36v，刀片长度：≧750mm。刀片速度：≧2350rpm,电池容量：17.4AH，净重：≦4.0kg，持续续航时间：≧6小时，噪音≦70分贝，无刷无铁芯电机，无极调速，刀片sk51。切削直径≧35mm。充电时间：2小时。</w:t>
            </w:r>
          </w:p>
        </w:tc>
      </w:tr>
      <w:tr w14:paraId="1AF3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5690DD7B">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5</w:t>
            </w:r>
          </w:p>
        </w:tc>
        <w:tc>
          <w:tcPr>
            <w:tcW w:w="1731" w:type="dxa"/>
            <w:vAlign w:val="center"/>
          </w:tcPr>
          <w:p w14:paraId="0390B1F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草坪修剪机</w:t>
            </w:r>
          </w:p>
        </w:tc>
        <w:tc>
          <w:tcPr>
            <w:tcW w:w="5994" w:type="dxa"/>
            <w:vAlign w:val="top"/>
          </w:tcPr>
          <w:p w14:paraId="457325F5">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转速：≥3400r/min ；排量：≥163cc；功率：≥2.0kw</w:t>
            </w:r>
          </w:p>
          <w:p w14:paraId="7D7C39B0">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净重：≤49kg；发动机性能：不低于本田GXV160；底壳材质：钢壳≥2mm,割副≥53cm；割草高度：20-80mm；集草袋容积：≥70L；驱动形式：手推。</w:t>
            </w:r>
          </w:p>
        </w:tc>
      </w:tr>
      <w:tr w14:paraId="7F5A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4327CCE6">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6</w:t>
            </w:r>
          </w:p>
        </w:tc>
        <w:tc>
          <w:tcPr>
            <w:tcW w:w="1731" w:type="dxa"/>
            <w:vAlign w:val="center"/>
          </w:tcPr>
          <w:p w14:paraId="47C36E84">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绿篱修剪机</w:t>
            </w:r>
          </w:p>
        </w:tc>
        <w:tc>
          <w:tcPr>
            <w:tcW w:w="5994" w:type="dxa"/>
            <w:vAlign w:val="top"/>
          </w:tcPr>
          <w:p w14:paraId="540067D9">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发动机排量：≥22.7cc；功率：≥0.7kw/1.0hp；整机质量：≤5.1kg；双刃刀片：≥750mm；刀齿间距：30mm；切割速度：≥5000/min；用于精准切割，配备高速切刀的专业工具，持久耐用的空气过滤系统，双边刀片，多功能旋转手柄。</w:t>
            </w:r>
          </w:p>
        </w:tc>
      </w:tr>
      <w:tr w14:paraId="4936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08F45950">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7</w:t>
            </w:r>
          </w:p>
        </w:tc>
        <w:tc>
          <w:tcPr>
            <w:tcW w:w="1731" w:type="dxa"/>
            <w:vAlign w:val="center"/>
          </w:tcPr>
          <w:p w14:paraId="37A05BBB">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割灌机</w:t>
            </w:r>
          </w:p>
        </w:tc>
        <w:tc>
          <w:tcPr>
            <w:tcW w:w="5994" w:type="dxa"/>
            <w:vAlign w:val="top"/>
          </w:tcPr>
          <w:p w14:paraId="6CB0FACE">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二冲程汽油机排量：≥36.3cc；功率：≥1.3kw/1.8hp；把手：双把手；空滤芯：纸质；杆径及：≤杆径28mm；传动轴：10齿花健；质量：≤7.9kg。</w:t>
            </w:r>
          </w:p>
        </w:tc>
      </w:tr>
      <w:tr w14:paraId="24A6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5D7FCA97">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8</w:t>
            </w:r>
          </w:p>
        </w:tc>
        <w:tc>
          <w:tcPr>
            <w:tcW w:w="1731" w:type="dxa"/>
            <w:vAlign w:val="center"/>
          </w:tcPr>
          <w:p w14:paraId="649B929F">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高枝油锯</w:t>
            </w:r>
          </w:p>
        </w:tc>
        <w:tc>
          <w:tcPr>
            <w:tcW w:w="5994" w:type="dxa"/>
            <w:vAlign w:val="top"/>
          </w:tcPr>
          <w:p w14:paraId="37CC0034">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二冲程汽油机排量：≥25.4cc；功率：≥0.8kw；整机总长：≥3.5米；导板尺寸：≥0.3米；铝管管径：≥26mm；有效切割直径：≥0.3米；传动轴：二节伸缩式；质量：≤8.3kg；</w:t>
            </w:r>
          </w:p>
          <w:p w14:paraId="1545F907">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适合比较高和粗的树枝的锯割，其作业效率高于高能耗内燃汽油型高枝锯，比人工割灌提高功效10倍以上。</w:t>
            </w:r>
          </w:p>
        </w:tc>
      </w:tr>
      <w:tr w14:paraId="1AE1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5D1F78DC">
            <w:pPr>
              <w:adjustRightInd w:val="0"/>
              <w:snapToGrid w:val="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9</w:t>
            </w:r>
          </w:p>
        </w:tc>
        <w:tc>
          <w:tcPr>
            <w:tcW w:w="1731" w:type="dxa"/>
            <w:vAlign w:val="center"/>
          </w:tcPr>
          <w:p w14:paraId="1EAB5107">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油锯</w:t>
            </w:r>
          </w:p>
        </w:tc>
        <w:tc>
          <w:tcPr>
            <w:tcW w:w="5994" w:type="dxa"/>
            <w:vAlign w:val="top"/>
          </w:tcPr>
          <w:p w14:paraId="4044AB75">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二冲程汽油机排量：≥42.9cc；功率：≥2.1kw/2.9HP；导板长度：≥18寸；燃油箱容积：≥0.48L；机油箱容积：≥0.33L；</w:t>
            </w:r>
          </w:p>
          <w:p w14:paraId="6677E4B3">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质量：≤4.8kg。</w:t>
            </w:r>
          </w:p>
        </w:tc>
      </w:tr>
      <w:tr w14:paraId="51A3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37A2D07D">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w:t>
            </w:r>
          </w:p>
        </w:tc>
        <w:tc>
          <w:tcPr>
            <w:tcW w:w="1731" w:type="dxa"/>
            <w:vAlign w:val="center"/>
          </w:tcPr>
          <w:p w14:paraId="519183A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吹风机</w:t>
            </w:r>
          </w:p>
        </w:tc>
        <w:tc>
          <w:tcPr>
            <w:tcW w:w="5994" w:type="dxa"/>
            <w:vAlign w:val="top"/>
          </w:tcPr>
          <w:p w14:paraId="43E3BC60">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二冲程汽油机排量：≥63.3cc；功率：≥2.7kw；油箱容积：≥1.8L；质量：≤9.6kg。</w:t>
            </w:r>
          </w:p>
        </w:tc>
      </w:tr>
      <w:tr w14:paraId="1B02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18939FE0">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11</w:t>
            </w:r>
          </w:p>
        </w:tc>
        <w:tc>
          <w:tcPr>
            <w:tcW w:w="1731" w:type="dxa"/>
            <w:vAlign w:val="center"/>
          </w:tcPr>
          <w:p w14:paraId="03803092">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电动三轮车</w:t>
            </w:r>
          </w:p>
        </w:tc>
        <w:tc>
          <w:tcPr>
            <w:tcW w:w="5994" w:type="dxa"/>
            <w:vAlign w:val="top"/>
          </w:tcPr>
          <w:p w14:paraId="56B8A245">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配套电机：≥1300W；转向方式：方向把；轮距：≤820mm；轴距：≤1810mm；轮胎规格：前3.50-12后3.50-12；车厢尺寸：三开门/1300mm*2000m；总质量：403kg；装备质量：165kg；额定载质量：175kg；电池：≥72V/45A</w:t>
            </w:r>
          </w:p>
          <w:p w14:paraId="69D4E075">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p>
        </w:tc>
      </w:tr>
      <w:tr w14:paraId="49B3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034EEF3A">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12</w:t>
            </w:r>
          </w:p>
        </w:tc>
        <w:tc>
          <w:tcPr>
            <w:tcW w:w="1731" w:type="dxa"/>
            <w:vAlign w:val="center"/>
          </w:tcPr>
          <w:p w14:paraId="2867733D">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自卸式垃圾清运车（电动三轮车）</w:t>
            </w:r>
          </w:p>
        </w:tc>
        <w:tc>
          <w:tcPr>
            <w:tcW w:w="5994" w:type="dxa"/>
          </w:tcPr>
          <w:p w14:paraId="28696AD0">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类型：电动三轮车；动力：电动/蓄电池；后车厢尺寸≧1.8米*1.2米；车身总长≧3.2米；电机功率≧1500瓦；电池型号≧72V/45A；颜色：车身红色；三开门；驾驶室带雨棚，挡风玻璃带雨刷；10、带液压自卸功能≧500KG。</w:t>
            </w:r>
          </w:p>
        </w:tc>
      </w:tr>
      <w:tr w14:paraId="468A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0059EF41">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13</w:t>
            </w:r>
          </w:p>
        </w:tc>
        <w:tc>
          <w:tcPr>
            <w:tcW w:w="1731" w:type="dxa"/>
            <w:vAlign w:val="center"/>
          </w:tcPr>
          <w:p w14:paraId="66E23DFC">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四轮巡逻车</w:t>
            </w:r>
          </w:p>
        </w:tc>
        <w:tc>
          <w:tcPr>
            <w:tcW w:w="5994" w:type="dxa"/>
            <w:vAlign w:val="top"/>
          </w:tcPr>
          <w:p w14:paraId="02243260">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充电式，封闭式，钢制车架，冲压铁板承载车身，前麦弗逊式独立悬挂后整体式后桥＋多片钢板弹簧，筒式液压减震器，整车电泳磷化防锈处理，汽车烤漆，按采购方要求进行涂装。双排4座，座椅：高回弹海绵＋布面料，锂电池，≥72V，≥100Ah，智能充电孔（具有自动修复功能和充满断电保护功能），前进挡，停车挡，倒车档，电动雨刷，轴距≥2100cm，交流电机，电机功率：≥4000W，方向盘式，续航里程：≥100公里，公路专用真空轮胎≥155-65R13，铝合金轮毂，四轮液压刹车，离地间隙≥23cm，最大行驶速度≤40km/h；按采购人要求进行涂装。</w:t>
            </w:r>
          </w:p>
        </w:tc>
      </w:tr>
      <w:tr w14:paraId="7F8D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7348974D">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14</w:t>
            </w:r>
          </w:p>
        </w:tc>
        <w:tc>
          <w:tcPr>
            <w:tcW w:w="1731" w:type="dxa"/>
            <w:vAlign w:val="center"/>
          </w:tcPr>
          <w:p w14:paraId="3D09237F">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手枪钻</w:t>
            </w:r>
          </w:p>
        </w:tc>
        <w:tc>
          <w:tcPr>
            <w:tcW w:w="5994" w:type="dxa"/>
            <w:vAlign w:val="top"/>
          </w:tcPr>
          <w:p w14:paraId="782166DA">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≧18V 2.0Ah，无刷马达，金属夹头，最大扭矩50牛顿米，充电式，双电池。</w:t>
            </w:r>
          </w:p>
        </w:tc>
      </w:tr>
      <w:tr w14:paraId="2165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5AA8A553">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15</w:t>
            </w:r>
          </w:p>
        </w:tc>
        <w:tc>
          <w:tcPr>
            <w:tcW w:w="1731" w:type="dxa"/>
            <w:vAlign w:val="center"/>
          </w:tcPr>
          <w:p w14:paraId="106C9DAC">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电锤</w:t>
            </w:r>
          </w:p>
        </w:tc>
        <w:tc>
          <w:tcPr>
            <w:tcW w:w="5994" w:type="dxa"/>
            <w:vAlign w:val="top"/>
          </w:tcPr>
          <w:p w14:paraId="10FB5F44">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锤击力：2.0焦耳，锤击率：0-5100次/分钟，≧18V 5.0A，充电式，双电池。</w:t>
            </w:r>
          </w:p>
        </w:tc>
      </w:tr>
      <w:tr w14:paraId="4C96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396C7950">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16</w:t>
            </w:r>
          </w:p>
        </w:tc>
        <w:tc>
          <w:tcPr>
            <w:tcW w:w="1731" w:type="dxa"/>
            <w:vAlign w:val="center"/>
          </w:tcPr>
          <w:p w14:paraId="1489C051">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激光测距仪</w:t>
            </w:r>
          </w:p>
        </w:tc>
        <w:tc>
          <w:tcPr>
            <w:tcW w:w="5994" w:type="dxa"/>
            <w:vAlign w:val="top"/>
          </w:tcPr>
          <w:p w14:paraId="390396B1">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测量范围：0.05-50米，测量精度：±1.5mm，长度、面积、体积、倾角、墙面积，蓝牙连接，水平尺，卷尺模式，亮度调节，IP65。</w:t>
            </w:r>
          </w:p>
        </w:tc>
      </w:tr>
      <w:tr w14:paraId="07ED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100CFB5A">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17</w:t>
            </w:r>
          </w:p>
        </w:tc>
        <w:tc>
          <w:tcPr>
            <w:tcW w:w="1731" w:type="dxa"/>
            <w:vAlign w:val="center"/>
          </w:tcPr>
          <w:p w14:paraId="4A46C37C">
            <w:pPr>
              <w:adjustRightInd w:val="0"/>
              <w:snapToGrid w:val="0"/>
              <w:jc w:val="center"/>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平板电脑</w:t>
            </w:r>
          </w:p>
        </w:tc>
        <w:tc>
          <w:tcPr>
            <w:tcW w:w="5994" w:type="dxa"/>
            <w:vAlign w:val="top"/>
          </w:tcPr>
          <w:p w14:paraId="75DC9E2B">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网络连接：WiFi/WLAN；CPU性能:不低于骁龙680；屏幕类型：IPS；前置摄像头像素：≧500W;后置摄像头像素：≧500W;</w:t>
            </w:r>
          </w:p>
          <w:p w14:paraId="208C9A2F">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支持IPv6；运行内存：≧8GB；系统性能：不低于HarmonyOS；</w:t>
            </w:r>
          </w:p>
          <w:p w14:paraId="6735D253">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内存容量：≧128GB；分辨率：2000*1200；</w:t>
            </w:r>
          </w:p>
          <w:p w14:paraId="27FC5C37">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屏幕尺寸：≧10.4英寸。</w:t>
            </w:r>
          </w:p>
        </w:tc>
      </w:tr>
      <w:tr w14:paraId="4F51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9" w:type="dxa"/>
            <w:vAlign w:val="center"/>
          </w:tcPr>
          <w:p w14:paraId="10AD6342">
            <w:pPr>
              <w:adjustRightInd w:val="0"/>
              <w:snapToGrid w:val="0"/>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18</w:t>
            </w:r>
          </w:p>
        </w:tc>
        <w:tc>
          <w:tcPr>
            <w:tcW w:w="1731" w:type="dxa"/>
            <w:vAlign w:val="center"/>
          </w:tcPr>
          <w:p w14:paraId="7A012FF9">
            <w:pPr>
              <w:adjustRightInd w:val="0"/>
              <w:snapToGrid w:val="0"/>
              <w:jc w:val="cente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洗车机</w:t>
            </w:r>
          </w:p>
        </w:tc>
        <w:tc>
          <w:tcPr>
            <w:tcW w:w="5994" w:type="dxa"/>
            <w:vAlign w:val="top"/>
          </w:tcPr>
          <w:p w14:paraId="44640538">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商用洗车机，外观类型：卧式；额定功率：3kW；电压：220V；</w:t>
            </w:r>
          </w:p>
          <w:p w14:paraId="34F925BE">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额定压力：0一170bar；额定流量：≥15L/min；电机类型：感应电机；机芯材质：铜；泵体：多柱塞泵；出水管长度：≥20m；</w:t>
            </w:r>
          </w:p>
          <w:p w14:paraId="0401C205">
            <w:pPr>
              <w:adjustRightInd w:val="0"/>
              <w:snapToGrid w:val="0"/>
              <w:jc w:val="both"/>
              <w:rPr>
                <w:rStyle w:val="13"/>
                <w:rFonts w:hint="default"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机身防水等级：≥IPX5。</w:t>
            </w:r>
          </w:p>
        </w:tc>
      </w:tr>
    </w:tbl>
    <w:p w14:paraId="05357176">
      <w:pPr>
        <w:spacing w:line="360" w:lineRule="auto"/>
        <w:ind w:firstLine="422" w:firstLineChars="200"/>
        <w:rPr>
          <w:rFonts w:hint="eastAsia" w:ascii="仿宋" w:hAnsi="仿宋" w:eastAsia="仿宋" w:cs="仿宋"/>
          <w:b/>
        </w:rPr>
      </w:pPr>
      <w:r>
        <w:rPr>
          <w:rFonts w:hint="eastAsia" w:ascii="仿宋" w:hAnsi="仿宋" w:eastAsia="仿宋" w:cs="仿宋"/>
          <w:b/>
        </w:rPr>
        <w:t>四、主要商务要求</w:t>
      </w:r>
    </w:p>
    <w:tbl>
      <w:tblPr>
        <w:tblStyle w:val="10"/>
        <w:tblpPr w:leftFromText="180" w:rightFromText="180" w:vertAnchor="text" w:horzAnchor="page" w:tblpX="1906"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6625"/>
      </w:tblGrid>
      <w:tr w14:paraId="3914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14:paraId="3404298A">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服务期限</w:t>
            </w:r>
          </w:p>
        </w:tc>
        <w:tc>
          <w:tcPr>
            <w:tcW w:w="6625" w:type="dxa"/>
            <w:vAlign w:val="center"/>
          </w:tcPr>
          <w:p w14:paraId="26BEE751">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以合同约定为准</w:t>
            </w:r>
          </w:p>
        </w:tc>
      </w:tr>
      <w:tr w14:paraId="07C9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14:paraId="10C8341D">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标的提供地点</w:t>
            </w:r>
          </w:p>
        </w:tc>
        <w:tc>
          <w:tcPr>
            <w:tcW w:w="6625" w:type="dxa"/>
            <w:vAlign w:val="center"/>
          </w:tcPr>
          <w:p w14:paraId="189E39E3">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西华大学指定地点</w:t>
            </w:r>
          </w:p>
        </w:tc>
      </w:tr>
      <w:tr w14:paraId="153D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Align w:val="center"/>
          </w:tcPr>
          <w:p w14:paraId="2732DF97">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投标有效期</w:t>
            </w:r>
          </w:p>
        </w:tc>
        <w:tc>
          <w:tcPr>
            <w:tcW w:w="6625" w:type="dxa"/>
            <w:vAlign w:val="center"/>
          </w:tcPr>
          <w:p w14:paraId="6DDB493F">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从提交投标文件的截止之日起30日历天</w:t>
            </w:r>
          </w:p>
        </w:tc>
      </w:tr>
      <w:tr w14:paraId="302D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6AB1E38F">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付款方式</w:t>
            </w:r>
          </w:p>
        </w:tc>
        <w:tc>
          <w:tcPr>
            <w:tcW w:w="6625" w:type="dxa"/>
          </w:tcPr>
          <w:p w14:paraId="0250353A">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合同签订后支付合同金额的 20%，验收合格后支付合同金 </w:t>
            </w:r>
          </w:p>
          <w:p w14:paraId="4D310AC3">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额 80%，同时需要开具相应增值税发票。</w:t>
            </w:r>
          </w:p>
        </w:tc>
      </w:tr>
      <w:tr w14:paraId="1A7C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787A1264">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验收要求</w:t>
            </w:r>
          </w:p>
        </w:tc>
        <w:tc>
          <w:tcPr>
            <w:tcW w:w="6625" w:type="dxa"/>
          </w:tcPr>
          <w:p w14:paraId="6CB8B2E9">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1.验收地点及时间：由采购人指定。</w:t>
            </w:r>
          </w:p>
          <w:p w14:paraId="216FB354">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验收时，双方必须同时在场，中标人所提供的产品不符合合同内容规定的，采购人有权拒绝验收。中标人应及时按本合同内容规定和采购人要求免费进行整改，直至验收合格，方视为中标人按本合同规定完成服务。验收合格的，由双方共同签署《验收报告》。</w:t>
            </w:r>
          </w:p>
        </w:tc>
      </w:tr>
      <w:tr w14:paraId="2BB9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14:paraId="017E5929">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其他</w:t>
            </w:r>
          </w:p>
        </w:tc>
        <w:tc>
          <w:tcPr>
            <w:tcW w:w="6625" w:type="dxa"/>
          </w:tcPr>
          <w:p w14:paraId="37C2AC6D">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服务要求:</w:t>
            </w:r>
          </w:p>
          <w:p w14:paraId="1722927C">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 xml:space="preserve">1.中标人须开通5×8小时热线电话及7×24小时客服人员电话，接受采购人的电话技术咨询和故障反馈。中标人应在48小时内提供现场服务。 </w:t>
            </w:r>
          </w:p>
          <w:p w14:paraId="4D7D5A01">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2.中标人必须提供培训服务：培训内容包括系统使用培训。</w:t>
            </w:r>
          </w:p>
          <w:p w14:paraId="22FFDE80">
            <w:pPr>
              <w:adjustRightInd w:val="0"/>
              <w:snapToGrid w:val="0"/>
              <w:jc w:val="both"/>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pPr>
            <w:r>
              <w:rPr>
                <w:rStyle w:val="13"/>
                <w:rFonts w:hint="eastAsia" w:ascii="仿宋" w:hAnsi="仿宋" w:eastAsia="仿宋" w:cs="仿宋"/>
                <w:b w:val="0"/>
                <w:bCs w:val="0"/>
                <w:color w:val="000000" w:themeColor="text1"/>
                <w:sz w:val="21"/>
                <w:szCs w:val="21"/>
                <w:lang w:val="en-US" w:eastAsia="zh-CN" w:bidi="ar"/>
                <w14:textFill>
                  <w14:solidFill>
                    <w14:schemeClr w14:val="tx1"/>
                  </w14:solidFill>
                </w14:textFill>
              </w:rPr>
              <w:t>3.售后服务：1年。质保期内，中标人应对设备进行免费维护。</w:t>
            </w:r>
          </w:p>
        </w:tc>
      </w:tr>
    </w:tbl>
    <w:p w14:paraId="7E2067A4">
      <w:pPr>
        <w:spacing w:line="360" w:lineRule="auto"/>
        <w:ind w:firstLine="422" w:firstLineChars="200"/>
        <w:rPr>
          <w:rFonts w:hint="eastAsia" w:ascii="仿宋" w:hAnsi="仿宋" w:eastAsia="仿宋" w:cs="仿宋"/>
          <w:b/>
        </w:rPr>
      </w:pPr>
      <w:r>
        <w:rPr>
          <w:rFonts w:hint="eastAsia" w:ascii="仿宋" w:hAnsi="仿宋" w:eastAsia="仿宋" w:cs="仿宋"/>
          <w:b/>
        </w:rPr>
        <w:t>五、评审方法及分值</w:t>
      </w:r>
    </w:p>
    <w:p w14:paraId="16D5B692">
      <w:pPr>
        <w:spacing w:line="360" w:lineRule="auto"/>
        <w:ind w:firstLine="422" w:firstLineChars="200"/>
        <w:rPr>
          <w:rFonts w:hint="eastAsia" w:ascii="仿宋" w:hAnsi="仿宋" w:eastAsia="仿宋" w:cs="仿宋"/>
          <w:b/>
        </w:rPr>
      </w:pPr>
      <w:r>
        <w:rPr>
          <w:rFonts w:hint="eastAsia" w:ascii="仿宋" w:hAnsi="仿宋" w:eastAsia="仿宋" w:cs="仿宋"/>
          <w:b/>
        </w:rPr>
        <w:t>评审方法：综合评分法</w:t>
      </w:r>
    </w:p>
    <w:tbl>
      <w:tblPr>
        <w:tblStyle w:val="9"/>
        <w:tblW w:w="7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14"/>
        <w:gridCol w:w="2901"/>
        <w:gridCol w:w="1470"/>
        <w:gridCol w:w="1299"/>
      </w:tblGrid>
      <w:tr w14:paraId="619E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14:paraId="6FBA71DC">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包</w:t>
            </w:r>
          </w:p>
        </w:tc>
        <w:tc>
          <w:tcPr>
            <w:tcW w:w="814" w:type="dxa"/>
            <w:tcBorders>
              <w:top w:val="single" w:color="auto" w:sz="4" w:space="0"/>
              <w:left w:val="single" w:color="auto" w:sz="4" w:space="0"/>
              <w:bottom w:val="single" w:color="auto" w:sz="4" w:space="0"/>
              <w:right w:val="single" w:color="auto" w:sz="4" w:space="0"/>
            </w:tcBorders>
            <w:vAlign w:val="center"/>
          </w:tcPr>
          <w:p w14:paraId="3B1E62B9">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序号</w:t>
            </w:r>
          </w:p>
        </w:tc>
        <w:tc>
          <w:tcPr>
            <w:tcW w:w="2901" w:type="dxa"/>
            <w:tcBorders>
              <w:top w:val="single" w:color="auto" w:sz="4" w:space="0"/>
              <w:left w:val="single" w:color="auto" w:sz="4" w:space="0"/>
              <w:bottom w:val="single" w:color="auto" w:sz="4" w:space="0"/>
              <w:right w:val="single" w:color="auto" w:sz="4" w:space="0"/>
            </w:tcBorders>
            <w:vAlign w:val="center"/>
          </w:tcPr>
          <w:p w14:paraId="326A646A">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评分因素</w:t>
            </w:r>
          </w:p>
        </w:tc>
        <w:tc>
          <w:tcPr>
            <w:tcW w:w="1470" w:type="dxa"/>
            <w:tcBorders>
              <w:top w:val="single" w:color="auto" w:sz="4" w:space="0"/>
              <w:left w:val="single" w:color="auto" w:sz="4" w:space="0"/>
              <w:bottom w:val="single" w:color="auto" w:sz="4" w:space="0"/>
              <w:right w:val="single" w:color="auto" w:sz="4" w:space="0"/>
            </w:tcBorders>
            <w:vAlign w:val="center"/>
          </w:tcPr>
          <w:p w14:paraId="2607B84A">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分值</w:t>
            </w:r>
          </w:p>
        </w:tc>
        <w:tc>
          <w:tcPr>
            <w:tcW w:w="1299" w:type="dxa"/>
            <w:tcBorders>
              <w:top w:val="single" w:color="auto" w:sz="4" w:space="0"/>
              <w:left w:val="single" w:color="auto" w:sz="4" w:space="0"/>
              <w:bottom w:val="single" w:color="auto" w:sz="4" w:space="0"/>
              <w:right w:val="single" w:color="auto" w:sz="4" w:space="0"/>
            </w:tcBorders>
            <w:vAlign w:val="center"/>
          </w:tcPr>
          <w:p w14:paraId="77AC4739">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备注</w:t>
            </w:r>
          </w:p>
        </w:tc>
      </w:tr>
      <w:tr w14:paraId="4C76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restart"/>
            <w:tcBorders>
              <w:top w:val="single" w:color="auto" w:sz="4" w:space="0"/>
              <w:left w:val="single" w:color="auto" w:sz="4" w:space="0"/>
              <w:right w:val="single" w:color="auto" w:sz="4" w:space="0"/>
            </w:tcBorders>
            <w:vAlign w:val="center"/>
          </w:tcPr>
          <w:p w14:paraId="3A3C2448">
            <w:pPr>
              <w:pStyle w:val="2"/>
              <w:adjustRightInd w:val="0"/>
              <w:snapToGrid w:val="0"/>
              <w:spacing w:after="0"/>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1</w:t>
            </w:r>
          </w:p>
        </w:tc>
        <w:tc>
          <w:tcPr>
            <w:tcW w:w="814" w:type="dxa"/>
            <w:tcBorders>
              <w:top w:val="single" w:color="auto" w:sz="4" w:space="0"/>
              <w:left w:val="single" w:color="auto" w:sz="4" w:space="0"/>
              <w:bottom w:val="single" w:color="auto" w:sz="4" w:space="0"/>
              <w:right w:val="single" w:color="auto" w:sz="4" w:space="0"/>
            </w:tcBorders>
            <w:vAlign w:val="center"/>
          </w:tcPr>
          <w:p w14:paraId="689729E1">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2901" w:type="dxa"/>
            <w:tcBorders>
              <w:top w:val="single" w:color="auto" w:sz="4" w:space="0"/>
              <w:left w:val="single" w:color="auto" w:sz="4" w:space="0"/>
              <w:bottom w:val="single" w:color="auto" w:sz="4" w:space="0"/>
              <w:right w:val="single" w:color="auto" w:sz="4" w:space="0"/>
            </w:tcBorders>
            <w:vAlign w:val="center"/>
          </w:tcPr>
          <w:p w14:paraId="4FD75410">
            <w:pPr>
              <w:pStyle w:val="2"/>
              <w:adjustRightInd w:val="0"/>
              <w:snapToGrid w:val="0"/>
              <w:spacing w:after="0"/>
              <w:jc w:val="center"/>
              <w:rPr>
                <w:rFonts w:hint="default" w:ascii="仿宋" w:hAnsi="仿宋" w:eastAsia="仿宋" w:cs="仿宋"/>
                <w:sz w:val="18"/>
                <w:szCs w:val="18"/>
                <w:lang w:val="en-US" w:eastAsia="zh-CN"/>
              </w:rPr>
            </w:pPr>
            <w:r>
              <w:rPr>
                <w:rFonts w:hint="eastAsia" w:ascii="仿宋" w:hAnsi="仿宋" w:eastAsia="仿宋" w:cs="仿宋"/>
                <w:sz w:val="18"/>
                <w:szCs w:val="18"/>
              </w:rPr>
              <w:t>报价</w:t>
            </w:r>
            <w:r>
              <w:rPr>
                <w:rFonts w:hint="eastAsia" w:ascii="仿宋" w:hAnsi="仿宋" w:eastAsia="仿宋" w:cs="仿宋"/>
                <w:sz w:val="18"/>
                <w:szCs w:val="18"/>
                <w:lang w:val="en-US" w:eastAsia="zh-CN"/>
              </w:rPr>
              <w:t>4</w:t>
            </w:r>
            <w:r>
              <w:rPr>
                <w:rFonts w:hint="eastAsia" w:ascii="仿宋" w:hAnsi="仿宋" w:eastAsia="仿宋" w:cs="仿宋"/>
                <w:sz w:val="18"/>
                <w:szCs w:val="18"/>
              </w:rPr>
              <w:t>0%</w:t>
            </w:r>
          </w:p>
        </w:tc>
        <w:tc>
          <w:tcPr>
            <w:tcW w:w="1470" w:type="dxa"/>
            <w:tcBorders>
              <w:top w:val="single" w:color="auto" w:sz="4" w:space="0"/>
              <w:left w:val="single" w:color="auto" w:sz="4" w:space="0"/>
              <w:bottom w:val="single" w:color="auto" w:sz="4" w:space="0"/>
              <w:right w:val="single" w:color="auto" w:sz="4" w:space="0"/>
            </w:tcBorders>
            <w:vAlign w:val="center"/>
          </w:tcPr>
          <w:p w14:paraId="1F1883D8">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14:paraId="12002060">
            <w:pPr>
              <w:widowControl/>
              <w:adjustRightInd w:val="0"/>
              <w:snapToGrid w:val="0"/>
              <w:jc w:val="center"/>
              <w:rPr>
                <w:rFonts w:hint="eastAsia" w:ascii="仿宋" w:hAnsi="仿宋" w:eastAsia="仿宋" w:cs="仿宋"/>
                <w:sz w:val="18"/>
                <w:szCs w:val="18"/>
              </w:rPr>
            </w:pPr>
          </w:p>
        </w:tc>
      </w:tr>
      <w:tr w14:paraId="1C59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4D9DF2E0">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46F4EF5B">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2901" w:type="dxa"/>
            <w:tcBorders>
              <w:top w:val="single" w:color="auto" w:sz="4" w:space="0"/>
              <w:left w:val="single" w:color="auto" w:sz="4" w:space="0"/>
              <w:bottom w:val="single" w:color="auto" w:sz="4" w:space="0"/>
              <w:right w:val="single" w:color="auto" w:sz="4" w:space="0"/>
            </w:tcBorders>
            <w:vAlign w:val="center"/>
          </w:tcPr>
          <w:p w14:paraId="512AFD3D">
            <w:pPr>
              <w:pStyle w:val="2"/>
              <w:adjustRightInd w:val="0"/>
              <w:snapToGrid w:val="0"/>
              <w:spacing w:after="0"/>
              <w:jc w:val="center"/>
              <w:rPr>
                <w:rFonts w:hint="eastAsia" w:ascii="仿宋" w:hAnsi="仿宋" w:eastAsia="仿宋" w:cs="仿宋"/>
                <w:sz w:val="18"/>
                <w:szCs w:val="18"/>
                <w:lang w:eastAsia="zh-CN"/>
              </w:rPr>
            </w:pPr>
            <w:r>
              <w:rPr>
                <w:rFonts w:hint="eastAsia" w:ascii="仿宋" w:hAnsi="仿宋" w:eastAsia="仿宋" w:cs="仿宋"/>
                <w:sz w:val="18"/>
                <w:szCs w:val="18"/>
              </w:rPr>
              <w:t>技术指标和配置</w:t>
            </w:r>
            <w:r>
              <w:rPr>
                <w:rFonts w:hint="eastAsia" w:ascii="仿宋" w:hAnsi="仿宋" w:eastAsia="仿宋" w:cs="仿宋"/>
                <w:sz w:val="18"/>
                <w:szCs w:val="18"/>
                <w:lang w:val="en-US" w:eastAsia="zh-CN"/>
              </w:rPr>
              <w:t>40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78F84B92">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14:paraId="0A319DF0">
            <w:pPr>
              <w:widowControl/>
              <w:adjustRightInd w:val="0"/>
              <w:snapToGrid w:val="0"/>
              <w:jc w:val="center"/>
              <w:rPr>
                <w:rFonts w:hint="eastAsia" w:ascii="仿宋" w:hAnsi="仿宋" w:eastAsia="仿宋" w:cs="仿宋"/>
                <w:sz w:val="18"/>
                <w:szCs w:val="18"/>
              </w:rPr>
            </w:pPr>
          </w:p>
        </w:tc>
      </w:tr>
      <w:tr w14:paraId="7C81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78E7026E">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1CB5592E">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2901" w:type="dxa"/>
            <w:tcBorders>
              <w:top w:val="single" w:color="auto" w:sz="4" w:space="0"/>
              <w:left w:val="single" w:color="auto" w:sz="4" w:space="0"/>
              <w:bottom w:val="single" w:color="auto" w:sz="4" w:space="0"/>
              <w:right w:val="single" w:color="auto" w:sz="4" w:space="0"/>
            </w:tcBorders>
            <w:vAlign w:val="center"/>
          </w:tcPr>
          <w:p w14:paraId="710D5C48">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服务方案</w:t>
            </w:r>
            <w:r>
              <w:rPr>
                <w:rFonts w:hint="eastAsia" w:ascii="仿宋" w:hAnsi="仿宋" w:eastAsia="仿宋" w:cs="仿宋"/>
                <w:sz w:val="18"/>
                <w:szCs w:val="18"/>
                <w:lang w:val="en-US" w:eastAsia="zh-CN"/>
              </w:rPr>
              <w:t>10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50642570">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10</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14:paraId="47EE2D8C">
            <w:pPr>
              <w:widowControl/>
              <w:adjustRightInd w:val="0"/>
              <w:snapToGrid w:val="0"/>
              <w:jc w:val="center"/>
              <w:rPr>
                <w:rFonts w:hint="eastAsia" w:ascii="仿宋" w:hAnsi="仿宋" w:eastAsia="仿宋" w:cs="仿宋"/>
                <w:sz w:val="18"/>
                <w:szCs w:val="18"/>
              </w:rPr>
            </w:pPr>
          </w:p>
        </w:tc>
      </w:tr>
      <w:tr w14:paraId="4003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70294034">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56A73742">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2901" w:type="dxa"/>
            <w:tcBorders>
              <w:top w:val="single" w:color="auto" w:sz="4" w:space="0"/>
              <w:left w:val="single" w:color="auto" w:sz="4" w:space="0"/>
              <w:bottom w:val="single" w:color="auto" w:sz="4" w:space="0"/>
              <w:right w:val="single" w:color="auto" w:sz="4" w:space="0"/>
            </w:tcBorders>
            <w:vAlign w:val="center"/>
          </w:tcPr>
          <w:p w14:paraId="161638E7">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售后</w:t>
            </w:r>
            <w:r>
              <w:rPr>
                <w:rFonts w:hint="eastAsia" w:ascii="仿宋" w:hAnsi="仿宋" w:eastAsia="仿宋" w:cs="仿宋"/>
                <w:sz w:val="18"/>
                <w:szCs w:val="18"/>
              </w:rPr>
              <w:t>服务保障</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3B53C5DA">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14:paraId="070C9CC0">
            <w:pPr>
              <w:widowControl/>
              <w:adjustRightInd w:val="0"/>
              <w:snapToGrid w:val="0"/>
              <w:jc w:val="center"/>
              <w:rPr>
                <w:rFonts w:hint="eastAsia" w:ascii="仿宋" w:hAnsi="仿宋" w:eastAsia="仿宋" w:cs="仿宋"/>
                <w:sz w:val="18"/>
                <w:szCs w:val="18"/>
              </w:rPr>
            </w:pPr>
          </w:p>
        </w:tc>
      </w:tr>
      <w:tr w14:paraId="373C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3061428E">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79FDA0CA">
            <w:pPr>
              <w:pStyle w:val="2"/>
              <w:adjustRightInd w:val="0"/>
              <w:snapToGrid w:val="0"/>
              <w:spacing w:after="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2901" w:type="dxa"/>
            <w:tcBorders>
              <w:top w:val="single" w:color="auto" w:sz="4" w:space="0"/>
              <w:left w:val="single" w:color="auto" w:sz="4" w:space="0"/>
              <w:bottom w:val="single" w:color="auto" w:sz="4" w:space="0"/>
              <w:right w:val="single" w:color="auto" w:sz="4" w:space="0"/>
            </w:tcBorders>
            <w:vAlign w:val="center"/>
          </w:tcPr>
          <w:p w14:paraId="7EA90D53">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履约能力</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5986ECF7">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14:paraId="77DD09FD">
            <w:pPr>
              <w:widowControl/>
              <w:adjustRightInd w:val="0"/>
              <w:snapToGrid w:val="0"/>
              <w:jc w:val="center"/>
              <w:rPr>
                <w:rFonts w:hint="eastAsia" w:ascii="仿宋" w:hAnsi="仿宋" w:eastAsia="仿宋" w:cs="仿宋"/>
                <w:sz w:val="18"/>
                <w:szCs w:val="18"/>
              </w:rPr>
            </w:pPr>
          </w:p>
        </w:tc>
      </w:tr>
      <w:tr w14:paraId="5F82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restart"/>
            <w:tcBorders>
              <w:left w:val="single" w:color="auto" w:sz="4" w:space="0"/>
              <w:right w:val="single" w:color="auto" w:sz="4" w:space="0"/>
            </w:tcBorders>
            <w:vAlign w:val="center"/>
          </w:tcPr>
          <w:p w14:paraId="081228A8">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2</w:t>
            </w:r>
          </w:p>
        </w:tc>
        <w:tc>
          <w:tcPr>
            <w:tcW w:w="814" w:type="dxa"/>
            <w:tcBorders>
              <w:top w:val="single" w:color="auto" w:sz="4" w:space="0"/>
              <w:left w:val="single" w:color="auto" w:sz="4" w:space="0"/>
              <w:bottom w:val="single" w:color="auto" w:sz="4" w:space="0"/>
              <w:right w:val="single" w:color="auto" w:sz="4" w:space="0"/>
            </w:tcBorders>
            <w:vAlign w:val="center"/>
          </w:tcPr>
          <w:p w14:paraId="380FF255">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1</w:t>
            </w:r>
          </w:p>
        </w:tc>
        <w:tc>
          <w:tcPr>
            <w:tcW w:w="2901" w:type="dxa"/>
            <w:tcBorders>
              <w:top w:val="single" w:color="auto" w:sz="4" w:space="0"/>
              <w:left w:val="single" w:color="auto" w:sz="4" w:space="0"/>
              <w:bottom w:val="single" w:color="auto" w:sz="4" w:space="0"/>
              <w:right w:val="single" w:color="auto" w:sz="4" w:space="0"/>
            </w:tcBorders>
            <w:vAlign w:val="center"/>
          </w:tcPr>
          <w:p w14:paraId="06AE56B7">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报价</w:t>
            </w:r>
            <w:r>
              <w:rPr>
                <w:rFonts w:hint="eastAsia" w:ascii="仿宋" w:hAnsi="仿宋" w:eastAsia="仿宋" w:cs="仿宋"/>
                <w:sz w:val="18"/>
                <w:szCs w:val="18"/>
                <w:lang w:val="en-US" w:eastAsia="zh-CN"/>
              </w:rPr>
              <w:t>4</w:t>
            </w:r>
            <w:r>
              <w:rPr>
                <w:rFonts w:hint="eastAsia" w:ascii="仿宋" w:hAnsi="仿宋" w:eastAsia="仿宋" w:cs="仿宋"/>
                <w:sz w:val="18"/>
                <w:szCs w:val="18"/>
              </w:rPr>
              <w:t>0%</w:t>
            </w:r>
          </w:p>
        </w:tc>
        <w:tc>
          <w:tcPr>
            <w:tcW w:w="1470" w:type="dxa"/>
            <w:tcBorders>
              <w:top w:val="single" w:color="auto" w:sz="4" w:space="0"/>
              <w:left w:val="single" w:color="auto" w:sz="4" w:space="0"/>
              <w:bottom w:val="single" w:color="auto" w:sz="4" w:space="0"/>
              <w:right w:val="single" w:color="auto" w:sz="4" w:space="0"/>
            </w:tcBorders>
            <w:vAlign w:val="center"/>
          </w:tcPr>
          <w:p w14:paraId="47BFBFCE">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14:paraId="0A24120C">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共同评分因素</w:t>
            </w:r>
          </w:p>
        </w:tc>
      </w:tr>
      <w:tr w14:paraId="4838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07563F6C">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0516EB23">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2</w:t>
            </w:r>
          </w:p>
        </w:tc>
        <w:tc>
          <w:tcPr>
            <w:tcW w:w="2901" w:type="dxa"/>
            <w:tcBorders>
              <w:top w:val="single" w:color="auto" w:sz="4" w:space="0"/>
              <w:left w:val="single" w:color="auto" w:sz="4" w:space="0"/>
              <w:bottom w:val="single" w:color="auto" w:sz="4" w:space="0"/>
              <w:right w:val="single" w:color="auto" w:sz="4" w:space="0"/>
            </w:tcBorders>
            <w:vAlign w:val="center"/>
          </w:tcPr>
          <w:p w14:paraId="6A996ECD">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技术指标和配置</w:t>
            </w:r>
            <w:r>
              <w:rPr>
                <w:rFonts w:hint="eastAsia" w:ascii="仿宋" w:hAnsi="仿宋" w:eastAsia="仿宋" w:cs="仿宋"/>
                <w:sz w:val="18"/>
                <w:szCs w:val="18"/>
                <w:lang w:val="en-US" w:eastAsia="zh-CN"/>
              </w:rPr>
              <w:t>40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5129296E">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0分</w:t>
            </w:r>
          </w:p>
        </w:tc>
        <w:tc>
          <w:tcPr>
            <w:tcW w:w="1299" w:type="dxa"/>
            <w:tcBorders>
              <w:top w:val="single" w:color="auto" w:sz="4" w:space="0"/>
              <w:left w:val="single" w:color="auto" w:sz="4" w:space="0"/>
              <w:bottom w:val="single" w:color="auto" w:sz="4" w:space="0"/>
              <w:right w:val="single" w:color="auto" w:sz="4" w:space="0"/>
            </w:tcBorders>
            <w:vAlign w:val="center"/>
          </w:tcPr>
          <w:p w14:paraId="03A40DED">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14:paraId="7E09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683112D0">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0237FB41">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3</w:t>
            </w:r>
          </w:p>
        </w:tc>
        <w:tc>
          <w:tcPr>
            <w:tcW w:w="2901" w:type="dxa"/>
            <w:tcBorders>
              <w:top w:val="single" w:color="auto" w:sz="4" w:space="0"/>
              <w:left w:val="single" w:color="auto" w:sz="4" w:space="0"/>
              <w:bottom w:val="single" w:color="auto" w:sz="4" w:space="0"/>
              <w:right w:val="single" w:color="auto" w:sz="4" w:space="0"/>
            </w:tcBorders>
            <w:vAlign w:val="center"/>
          </w:tcPr>
          <w:p w14:paraId="7A129DEC">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服务方案</w:t>
            </w:r>
            <w:r>
              <w:rPr>
                <w:rFonts w:hint="eastAsia" w:ascii="仿宋" w:hAnsi="仿宋" w:eastAsia="仿宋" w:cs="仿宋"/>
                <w:sz w:val="18"/>
                <w:szCs w:val="18"/>
                <w:lang w:val="en-US" w:eastAsia="zh-CN"/>
              </w:rPr>
              <w:t>10</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1CBD45CE">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10</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14:paraId="131DBC22">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14:paraId="5754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62F002C2">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1631A513">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4</w:t>
            </w:r>
          </w:p>
        </w:tc>
        <w:tc>
          <w:tcPr>
            <w:tcW w:w="2901" w:type="dxa"/>
            <w:tcBorders>
              <w:top w:val="single" w:color="auto" w:sz="4" w:space="0"/>
              <w:left w:val="single" w:color="auto" w:sz="4" w:space="0"/>
              <w:bottom w:val="single" w:color="auto" w:sz="4" w:space="0"/>
              <w:right w:val="single" w:color="auto" w:sz="4" w:space="0"/>
            </w:tcBorders>
            <w:vAlign w:val="center"/>
          </w:tcPr>
          <w:p w14:paraId="4CC90549">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售后</w:t>
            </w:r>
            <w:r>
              <w:rPr>
                <w:rFonts w:hint="eastAsia" w:ascii="仿宋" w:hAnsi="仿宋" w:eastAsia="仿宋" w:cs="仿宋"/>
                <w:sz w:val="18"/>
                <w:szCs w:val="18"/>
              </w:rPr>
              <w:t>服务保障</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45DBDCA2">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14:paraId="7E677851">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r w14:paraId="50FA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tcBorders>
              <w:left w:val="single" w:color="auto" w:sz="4" w:space="0"/>
              <w:right w:val="single" w:color="auto" w:sz="4" w:space="0"/>
            </w:tcBorders>
            <w:vAlign w:val="center"/>
          </w:tcPr>
          <w:p w14:paraId="1034CE2C">
            <w:pPr>
              <w:pStyle w:val="2"/>
              <w:adjustRightInd w:val="0"/>
              <w:snapToGrid w:val="0"/>
              <w:spacing w:after="0"/>
              <w:jc w:val="center"/>
              <w:rPr>
                <w:rFonts w:hint="eastAsia" w:ascii="仿宋" w:hAnsi="仿宋" w:eastAsia="仿宋" w:cs="仿宋"/>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14:paraId="53DBAA9F">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5</w:t>
            </w:r>
          </w:p>
        </w:tc>
        <w:tc>
          <w:tcPr>
            <w:tcW w:w="2901" w:type="dxa"/>
            <w:tcBorders>
              <w:top w:val="single" w:color="auto" w:sz="4" w:space="0"/>
              <w:left w:val="single" w:color="auto" w:sz="4" w:space="0"/>
              <w:bottom w:val="single" w:color="auto" w:sz="4" w:space="0"/>
              <w:right w:val="single" w:color="auto" w:sz="4" w:space="0"/>
            </w:tcBorders>
            <w:vAlign w:val="center"/>
          </w:tcPr>
          <w:p w14:paraId="5087848A">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rPr>
              <w:t>履约能力</w:t>
            </w:r>
            <w:r>
              <w:rPr>
                <w:rFonts w:hint="eastAsia" w:ascii="仿宋" w:hAnsi="仿宋" w:eastAsia="仿宋" w:cs="仿宋"/>
                <w:sz w:val="18"/>
                <w:szCs w:val="18"/>
                <w:lang w:val="en-US" w:eastAsia="zh-CN"/>
              </w:rPr>
              <w:t>5</w:t>
            </w:r>
            <w:r>
              <w:rPr>
                <w:rFonts w:hint="eastAsia" w:ascii="仿宋" w:hAnsi="仿宋" w:eastAsia="仿宋" w:cs="仿宋"/>
                <w:sz w:val="18"/>
                <w:szCs w:val="18"/>
              </w:rPr>
              <w:t>%</w:t>
            </w:r>
          </w:p>
        </w:tc>
        <w:tc>
          <w:tcPr>
            <w:tcW w:w="1470" w:type="dxa"/>
            <w:tcBorders>
              <w:top w:val="single" w:color="auto" w:sz="4" w:space="0"/>
              <w:left w:val="single" w:color="auto" w:sz="4" w:space="0"/>
              <w:bottom w:val="single" w:color="auto" w:sz="4" w:space="0"/>
              <w:right w:val="single" w:color="auto" w:sz="4" w:space="0"/>
            </w:tcBorders>
            <w:vAlign w:val="center"/>
          </w:tcPr>
          <w:p w14:paraId="4BDCA1F2">
            <w:pPr>
              <w:pStyle w:val="2"/>
              <w:adjustRightInd w:val="0"/>
              <w:snapToGrid w:val="0"/>
              <w:spacing w:after="0"/>
              <w:jc w:val="center"/>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分</w:t>
            </w:r>
          </w:p>
        </w:tc>
        <w:tc>
          <w:tcPr>
            <w:tcW w:w="1299" w:type="dxa"/>
            <w:tcBorders>
              <w:top w:val="single" w:color="auto" w:sz="4" w:space="0"/>
              <w:left w:val="single" w:color="auto" w:sz="4" w:space="0"/>
              <w:bottom w:val="single" w:color="auto" w:sz="4" w:space="0"/>
              <w:right w:val="single" w:color="auto" w:sz="4" w:space="0"/>
            </w:tcBorders>
            <w:vAlign w:val="center"/>
          </w:tcPr>
          <w:p w14:paraId="1AA63F4A">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技术评分因素</w:t>
            </w:r>
          </w:p>
        </w:tc>
      </w:tr>
    </w:tbl>
    <w:p w14:paraId="07BABD6E">
      <w:pPr>
        <w:spacing w:line="360" w:lineRule="auto"/>
        <w:ind w:firstLine="422" w:firstLineChars="200"/>
        <w:rPr>
          <w:rFonts w:hint="eastAsia" w:ascii="仿宋" w:hAnsi="仿宋" w:eastAsia="仿宋" w:cs="仿宋"/>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YjZmYmIwZjNlZGNiMDM1YjJiMzQ0YTZiNTM1NTEifQ=="/>
    <w:docVar w:name="KSO_WPS_MARK_KEY" w:val="bb25c515-73d4-4925-a44d-b44e2a96dafb"/>
  </w:docVars>
  <w:rsids>
    <w:rsidRoot w:val="00895A15"/>
    <w:rsid w:val="00220833"/>
    <w:rsid w:val="003E4A0C"/>
    <w:rsid w:val="00447D67"/>
    <w:rsid w:val="004C3BCB"/>
    <w:rsid w:val="004E00CB"/>
    <w:rsid w:val="004E65CD"/>
    <w:rsid w:val="00555235"/>
    <w:rsid w:val="006E62A9"/>
    <w:rsid w:val="007778CB"/>
    <w:rsid w:val="00895A15"/>
    <w:rsid w:val="0096136F"/>
    <w:rsid w:val="00A452BD"/>
    <w:rsid w:val="00E450DB"/>
    <w:rsid w:val="00FB4AF0"/>
    <w:rsid w:val="00FC3B8B"/>
    <w:rsid w:val="00FF5838"/>
    <w:rsid w:val="00FF594A"/>
    <w:rsid w:val="019127B6"/>
    <w:rsid w:val="03722B8F"/>
    <w:rsid w:val="03BC0D3F"/>
    <w:rsid w:val="09D6775D"/>
    <w:rsid w:val="13E1587A"/>
    <w:rsid w:val="1E9F6C6F"/>
    <w:rsid w:val="2424020B"/>
    <w:rsid w:val="2CF03F85"/>
    <w:rsid w:val="2D2C42AF"/>
    <w:rsid w:val="31030DBF"/>
    <w:rsid w:val="316802C2"/>
    <w:rsid w:val="386E1A9D"/>
    <w:rsid w:val="44FA6A22"/>
    <w:rsid w:val="453641BF"/>
    <w:rsid w:val="48C57A10"/>
    <w:rsid w:val="49892535"/>
    <w:rsid w:val="4C056A16"/>
    <w:rsid w:val="4C936320"/>
    <w:rsid w:val="4CFC43D7"/>
    <w:rsid w:val="506D346E"/>
    <w:rsid w:val="51391BC6"/>
    <w:rsid w:val="56C53E05"/>
    <w:rsid w:val="58E10CF4"/>
    <w:rsid w:val="5A7140A7"/>
    <w:rsid w:val="5D641F1C"/>
    <w:rsid w:val="5F586E3A"/>
    <w:rsid w:val="64E45081"/>
    <w:rsid w:val="651838A9"/>
    <w:rsid w:val="67DE35FD"/>
    <w:rsid w:val="6B9240B0"/>
    <w:rsid w:val="6DF03896"/>
    <w:rsid w:val="70DE5573"/>
    <w:rsid w:val="71135756"/>
    <w:rsid w:val="721444B9"/>
    <w:rsid w:val="759D2386"/>
    <w:rsid w:val="77C863C8"/>
    <w:rsid w:val="7DA6649A"/>
    <w:rsid w:val="7EAA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4"/>
    <w:autoRedefine/>
    <w:qFormat/>
    <w:uiPriority w:val="0"/>
    <w:pPr>
      <w:spacing w:after="120"/>
    </w:pPr>
  </w:style>
  <w:style w:type="paragraph" w:styleId="3">
    <w:name w:val="Plain Text"/>
    <w:basedOn w:val="1"/>
    <w:next w:val="4"/>
    <w:link w:val="15"/>
    <w:autoRedefine/>
    <w:qFormat/>
    <w:uiPriority w:val="0"/>
    <w:rPr>
      <w:rFonts w:ascii="宋体" w:hAnsi="Courier New"/>
      <w:kern w:val="0"/>
      <w:sz w:val="20"/>
      <w:szCs w:val="21"/>
    </w:rPr>
  </w:style>
  <w:style w:type="paragraph" w:styleId="4">
    <w:name w:val="Normal Indent"/>
    <w:basedOn w:val="1"/>
    <w:autoRedefine/>
    <w:unhideWhenUsed/>
    <w:qFormat/>
    <w:uiPriority w:val="99"/>
    <w:pPr>
      <w:ind w:firstLine="420" w:firstLineChars="200"/>
      <w:jc w:val="left"/>
    </w:pPr>
  </w:style>
  <w:style w:type="paragraph" w:styleId="5">
    <w:name w:val="Body Text Indent"/>
    <w:basedOn w:val="1"/>
    <w:autoRedefine/>
    <w:qFormat/>
    <w:uiPriority w:val="0"/>
    <w:pPr>
      <w:ind w:firstLine="795"/>
    </w:pPr>
    <w:rPr>
      <w:rFonts w:ascii="Times New Roman"/>
      <w:kern w:val="2"/>
      <w:sz w:val="32"/>
    </w:rPr>
  </w:style>
  <w:style w:type="paragraph" w:styleId="6">
    <w:name w:val="Balloon Text"/>
    <w:basedOn w:val="1"/>
    <w:link w:val="20"/>
    <w:autoRedefine/>
    <w:semiHidden/>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autoRedefine/>
    <w:semiHidden/>
    <w:unhideWhenUsed/>
    <w:qFormat/>
    <w:uiPriority w:val="99"/>
    <w:rPr>
      <w:color w:val="0000FF"/>
      <w:u w:val="single"/>
    </w:rPr>
  </w:style>
  <w:style w:type="character" w:customStyle="1" w:styleId="13">
    <w:name w:val="font11"/>
    <w:basedOn w:val="11"/>
    <w:autoRedefine/>
    <w:qFormat/>
    <w:uiPriority w:val="0"/>
    <w:rPr>
      <w:rFonts w:hint="eastAsia" w:ascii="宋体" w:hAnsi="宋体" w:eastAsia="宋体" w:cs="宋体"/>
      <w:b/>
      <w:bCs/>
      <w:color w:val="000000"/>
      <w:sz w:val="20"/>
      <w:szCs w:val="20"/>
      <w:u w:val="none"/>
    </w:rPr>
  </w:style>
  <w:style w:type="character" w:customStyle="1" w:styleId="14">
    <w:name w:val="正文文本 Char"/>
    <w:basedOn w:val="11"/>
    <w:link w:val="2"/>
    <w:autoRedefine/>
    <w:qFormat/>
    <w:uiPriority w:val="0"/>
  </w:style>
  <w:style w:type="character" w:customStyle="1" w:styleId="15">
    <w:name w:val="纯文本 Char"/>
    <w:basedOn w:val="11"/>
    <w:link w:val="3"/>
    <w:autoRedefine/>
    <w:qFormat/>
    <w:uiPriority w:val="0"/>
    <w:rPr>
      <w:rFonts w:ascii="宋体" w:hAnsi="Courier New"/>
      <w:kern w:val="0"/>
      <w:sz w:val="20"/>
      <w:szCs w:val="21"/>
    </w:rPr>
  </w:style>
  <w:style w:type="paragraph" w:customStyle="1" w:styleId="16">
    <w:name w:val="Default"/>
    <w:autoRedefine/>
    <w:unhideWhenUsed/>
    <w:qFormat/>
    <w:uiPriority w:val="99"/>
    <w:pPr>
      <w:widowControl w:val="0"/>
      <w:autoSpaceDE w:val="0"/>
      <w:autoSpaceDN w:val="0"/>
      <w:adjustRightInd w:val="0"/>
    </w:pPr>
    <w:rPr>
      <w:rFonts w:hint="eastAsia" w:ascii="宋体" w:hAnsi="宋体" w:eastAsia="宋体" w:cs="Times New Roman"/>
      <w:color w:val="000000"/>
      <w:kern w:val="0"/>
      <w:sz w:val="24"/>
      <w:szCs w:val="22"/>
      <w:lang w:val="en-US" w:eastAsia="zh-CN" w:bidi="ar-SA"/>
    </w:rPr>
  </w:style>
  <w:style w:type="character" w:customStyle="1" w:styleId="17">
    <w:name w:val="font31"/>
    <w:basedOn w:val="11"/>
    <w:autoRedefine/>
    <w:qFormat/>
    <w:uiPriority w:val="0"/>
    <w:rPr>
      <w:rFonts w:hint="eastAsia" w:ascii="宋体" w:hAnsi="宋体" w:eastAsia="宋体" w:cs="宋体"/>
      <w:b/>
      <w:bCs/>
      <w:color w:val="000000"/>
      <w:sz w:val="20"/>
      <w:szCs w:val="20"/>
      <w:u w:val="none"/>
    </w:rPr>
  </w:style>
  <w:style w:type="character" w:customStyle="1" w:styleId="18">
    <w:name w:val="页眉 Char"/>
    <w:basedOn w:val="11"/>
    <w:link w:val="8"/>
    <w:autoRedefine/>
    <w:qFormat/>
    <w:uiPriority w:val="99"/>
    <w:rPr>
      <w:sz w:val="18"/>
      <w:szCs w:val="18"/>
    </w:rPr>
  </w:style>
  <w:style w:type="character" w:customStyle="1" w:styleId="19">
    <w:name w:val="页脚 Char"/>
    <w:basedOn w:val="11"/>
    <w:link w:val="7"/>
    <w:autoRedefine/>
    <w:qFormat/>
    <w:uiPriority w:val="99"/>
    <w:rPr>
      <w:sz w:val="18"/>
      <w:szCs w:val="18"/>
    </w:rPr>
  </w:style>
  <w:style w:type="character" w:customStyle="1" w:styleId="20">
    <w:name w:val="批注框文本 Char"/>
    <w:basedOn w:val="11"/>
    <w:link w:val="6"/>
    <w:autoRedefine/>
    <w:semiHidden/>
    <w:qFormat/>
    <w:uiPriority w:val="99"/>
    <w:rPr>
      <w:sz w:val="18"/>
      <w:szCs w:val="18"/>
    </w:rPr>
  </w:style>
  <w:style w:type="character" w:customStyle="1" w:styleId="21">
    <w:name w:val="font21"/>
    <w:basedOn w:val="1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6978</Words>
  <Characters>8729</Characters>
  <Lines>139</Lines>
  <Paragraphs>39</Paragraphs>
  <TotalTime>1057</TotalTime>
  <ScaleCrop>false</ScaleCrop>
  <LinksUpToDate>false</LinksUpToDate>
  <CharactersWithSpaces>9006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2024-03-15T03:08:00Z</dcterms:created>
  <dc:creator>刘雪梅</dc:creator>
  <cp:lastModifiedBy>喻华</cp:lastModifiedBy>
  <dcterms:modified xsi:type="dcterms:W3CDTF">2025-03-21T01:41:59Z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42DC672BA65F448EA093ECC6D07868DB_13</vt:lpwstr>
  </property>
  <property fmtid="{D5CDD505-2E9C-101B-9397-08002B2CF9AE}" pid="4" name="KSOTemplateDocerSaveRecord">
    <vt:lpwstr>eyJoZGlkIjoiZWY3MjkyN2RhNTE1Yjk5ZWI5N2Y3M2I5ZjJmNzE5MWMiLCJ1c2VySWQiOiIxNjgzNzY2NDQzIn0=</vt:lpwstr>
  </property>
</Properties>
</file>