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hint="eastAsia" w:ascii="仿宋" w:hAnsi="仿宋" w:eastAsia="仿宋" w:cs="仿宋"/>
          <w:b/>
          <w:sz w:val="32"/>
          <w:szCs w:val="36"/>
          <w:lang w:val="en-US" w:eastAsia="zh-CN"/>
        </w:rPr>
      </w:pPr>
      <w:r>
        <w:rPr>
          <w:rFonts w:hint="eastAsia" w:ascii="仿宋" w:hAnsi="仿宋" w:eastAsia="仿宋" w:cs="仿宋"/>
          <w:b/>
          <w:sz w:val="32"/>
          <w:szCs w:val="36"/>
        </w:rPr>
        <w:fldChar w:fldCharType="begin"/>
      </w:r>
      <w:r>
        <w:rPr>
          <w:rFonts w:hint="eastAsia" w:ascii="仿宋" w:hAnsi="仿宋" w:eastAsia="仿宋" w:cs="仿宋"/>
          <w:b/>
          <w:sz w:val="32"/>
          <w:szCs w:val="36"/>
        </w:rPr>
        <w:instrText xml:space="preserve"> HYPERLINK "https://czpt.xhu.edu.cn/sfw/e?page=base.task.detail&amp;bpmNo=2403170013" \t "https://czpt.xhu.edu.cn/sfw/_blank" </w:instrText>
      </w:r>
      <w:r>
        <w:rPr>
          <w:rFonts w:hint="eastAsia" w:ascii="仿宋" w:hAnsi="仿宋" w:eastAsia="仿宋" w:cs="仿宋"/>
          <w:b/>
          <w:sz w:val="32"/>
          <w:szCs w:val="36"/>
        </w:rPr>
        <w:fldChar w:fldCharType="separate"/>
      </w:r>
      <w:r>
        <w:rPr>
          <w:rFonts w:hint="eastAsia" w:ascii="仿宋" w:hAnsi="仿宋" w:eastAsia="仿宋" w:cs="仿宋"/>
          <w:b/>
          <w:sz w:val="32"/>
          <w:szCs w:val="36"/>
        </w:rPr>
        <w:t>西华大学2024年后勤总公司专用设备采购</w:t>
      </w:r>
      <w:r>
        <w:rPr>
          <w:rFonts w:hint="eastAsia" w:ascii="仿宋" w:hAnsi="仿宋" w:eastAsia="仿宋" w:cs="仿宋"/>
          <w:b/>
          <w:sz w:val="32"/>
          <w:szCs w:val="36"/>
        </w:rPr>
        <w:fldChar w:fldCharType="end"/>
      </w:r>
      <w:r>
        <w:rPr>
          <w:rFonts w:hint="eastAsia" w:ascii="仿宋" w:hAnsi="仿宋" w:eastAsia="仿宋" w:cs="仿宋"/>
          <w:b/>
          <w:sz w:val="32"/>
          <w:szCs w:val="36"/>
          <w:lang w:val="en-US" w:eastAsia="zh-CN"/>
        </w:rPr>
        <w:t>项目</w:t>
      </w:r>
    </w:p>
    <w:p>
      <w:pPr>
        <w:spacing w:line="360" w:lineRule="auto"/>
        <w:ind w:firstLine="643" w:firstLineChars="200"/>
        <w:jc w:val="center"/>
        <w:rPr>
          <w:rFonts w:hint="default" w:ascii="仿宋" w:hAnsi="仿宋" w:eastAsia="仿宋" w:cs="仿宋"/>
          <w:b/>
          <w:sz w:val="32"/>
          <w:szCs w:val="36"/>
          <w:lang w:val="en-US" w:eastAsia="zh-CN"/>
        </w:rPr>
      </w:pPr>
      <w:r>
        <w:rPr>
          <w:rFonts w:hint="eastAsia" w:ascii="仿宋" w:hAnsi="仿宋" w:eastAsia="仿宋" w:cs="仿宋"/>
          <w:b/>
          <w:sz w:val="32"/>
          <w:szCs w:val="36"/>
          <w:lang w:val="en-US" w:eastAsia="zh-CN"/>
        </w:rPr>
        <w:t>需求文件</w:t>
      </w:r>
    </w:p>
    <w:p>
      <w:pPr>
        <w:spacing w:line="360" w:lineRule="auto"/>
        <w:ind w:firstLine="562" w:firstLineChars="200"/>
        <w:rPr>
          <w:rFonts w:hint="eastAsia" w:ascii="仿宋" w:hAnsi="仿宋" w:eastAsia="仿宋" w:cs="仿宋"/>
          <w:b/>
        </w:rPr>
      </w:pPr>
      <w:r>
        <w:rPr>
          <w:rFonts w:hint="eastAsia" w:ascii="仿宋" w:hAnsi="仿宋" w:eastAsia="仿宋" w:cs="仿宋"/>
          <w:b/>
          <w:sz w:val="28"/>
          <w:szCs w:val="32"/>
        </w:rPr>
        <w:t>一、项目概况</w:t>
      </w:r>
      <w:r>
        <w:rPr>
          <w:rFonts w:hint="eastAsia" w:ascii="仿宋" w:hAnsi="仿宋" w:eastAsia="仿宋" w:cs="仿宋"/>
          <w:b/>
        </w:rPr>
        <w:t xml:space="preserve">  </w:t>
      </w:r>
    </w:p>
    <w:p>
      <w:pPr>
        <w:numPr>
          <w:ilvl w:val="0"/>
          <w:numId w:val="0"/>
        </w:numPr>
        <w:adjustRightInd w:val="0"/>
        <w:snapToGrid w:val="0"/>
        <w:spacing w:line="5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2024年学校为确保后勤民生工程，提高西华大学后勤服务总公司的后勤服务能力，计划56万元专项资金用于购买食堂专用设备、其他后勤专用设备。</w:t>
      </w:r>
      <w:r>
        <w:rPr>
          <w:rFonts w:hint="eastAsia" w:ascii="仿宋" w:hAnsi="仿宋" w:eastAsia="仿宋" w:cs="仿宋"/>
          <w:sz w:val="24"/>
          <w:szCs w:val="24"/>
          <w:lang w:eastAsia="zh-CN"/>
        </w:rPr>
        <w:t>对部分旧设备进行更换，以完善我校相关办学及</w:t>
      </w:r>
      <w:r>
        <w:rPr>
          <w:rFonts w:hint="eastAsia" w:ascii="仿宋" w:hAnsi="仿宋" w:eastAsia="仿宋" w:cs="仿宋"/>
          <w:sz w:val="24"/>
          <w:szCs w:val="24"/>
          <w:lang w:val="en-US" w:eastAsia="zh-CN"/>
        </w:rPr>
        <w:t>后勤</w:t>
      </w:r>
      <w:r>
        <w:rPr>
          <w:rFonts w:hint="eastAsia" w:ascii="仿宋" w:hAnsi="仿宋" w:eastAsia="仿宋" w:cs="仿宋"/>
          <w:sz w:val="24"/>
          <w:szCs w:val="24"/>
          <w:lang w:eastAsia="zh-CN"/>
        </w:rPr>
        <w:t>服务条件，提高工作效率，为学校教学科研提供更优质的</w:t>
      </w:r>
      <w:r>
        <w:rPr>
          <w:rFonts w:hint="eastAsia" w:ascii="仿宋" w:hAnsi="仿宋" w:eastAsia="仿宋" w:cs="仿宋"/>
          <w:sz w:val="24"/>
          <w:szCs w:val="24"/>
          <w:lang w:val="en-US" w:eastAsia="zh-CN"/>
        </w:rPr>
        <w:t>后勤</w:t>
      </w:r>
      <w:r>
        <w:rPr>
          <w:rFonts w:hint="eastAsia" w:ascii="仿宋" w:hAnsi="仿宋" w:eastAsia="仿宋" w:cs="仿宋"/>
          <w:sz w:val="24"/>
          <w:szCs w:val="24"/>
          <w:lang w:eastAsia="zh-CN"/>
        </w:rPr>
        <w:t xml:space="preserve">服务。 </w:t>
      </w:r>
    </w:p>
    <w:p>
      <w:pPr>
        <w:spacing w:line="360" w:lineRule="auto"/>
        <w:ind w:firstLine="281" w:firstLineChars="100"/>
        <w:rPr>
          <w:rFonts w:hint="eastAsia" w:ascii="仿宋" w:hAnsi="仿宋" w:eastAsia="仿宋" w:cs="仿宋"/>
          <w:b/>
          <w:sz w:val="28"/>
          <w:szCs w:val="32"/>
        </w:rPr>
      </w:pPr>
      <w:r>
        <w:rPr>
          <w:rFonts w:hint="eastAsia" w:ascii="仿宋" w:hAnsi="仿宋" w:eastAsia="仿宋" w:cs="仿宋"/>
          <w:b/>
          <w:sz w:val="28"/>
          <w:szCs w:val="32"/>
        </w:rPr>
        <w:t>二、投标供应商的资格要求</w:t>
      </w: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7"/>
        <w:gridCol w:w="1969"/>
        <w:gridCol w:w="56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7" w:hRule="atLeast"/>
          <w:tblHeader/>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序号</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资格要求名称</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资格要求详细说明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05"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1</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投标人应具有独立承担民事责任的能力</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34"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2</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具有良好的商业信誉的证明材料；具有健全的财务会计制度的证明材料；缴纳社会保障资金的证明材料；缴纳税收的证明材料；参加政府采购活动前三年内，在经营活动中没有重大违法记录；供应商应提供履行合同所必需的设备和专业技术能力的证明材料；</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 xml:space="preserve">1.投标人具有良好的商业信誉的书面声明材料。 </w:t>
            </w:r>
          </w:p>
          <w:p>
            <w:pPr>
              <w:rPr>
                <w:rFonts w:hint="eastAsia" w:ascii="仿宋" w:hAnsi="仿宋" w:eastAsia="仿宋" w:cs="仿宋"/>
              </w:rPr>
            </w:pPr>
            <w:r>
              <w:rPr>
                <w:rFonts w:hint="eastAsia" w:ascii="仿宋" w:hAnsi="仿宋" w:eastAsia="仿宋" w:cs="仿宋"/>
              </w:rPr>
              <w:t>2.投标人参加政府采购活动前三年内，在经营活动中没有重大违法记录的书面声明材料；</w:t>
            </w:r>
          </w:p>
          <w:p>
            <w:pPr>
              <w:rPr>
                <w:rFonts w:hint="eastAsia" w:ascii="仿宋" w:hAnsi="仿宋" w:eastAsia="仿宋" w:cs="仿宋"/>
              </w:rPr>
            </w:pPr>
            <w:r>
              <w:rPr>
                <w:rFonts w:hint="eastAsia" w:ascii="仿宋" w:hAnsi="仿宋" w:eastAsia="仿宋" w:cs="仿宋"/>
              </w:rPr>
              <w:t xml:space="preserve">3.投标人具有健全的财务会计制度的书面声明材料； </w:t>
            </w:r>
          </w:p>
          <w:p>
            <w:pPr>
              <w:rPr>
                <w:rFonts w:hint="eastAsia" w:ascii="仿宋" w:hAnsi="仿宋" w:eastAsia="仿宋" w:cs="仿宋"/>
              </w:rPr>
            </w:pPr>
            <w:r>
              <w:rPr>
                <w:rFonts w:hint="eastAsia" w:ascii="仿宋" w:hAnsi="仿宋" w:eastAsia="仿宋" w:cs="仿宋"/>
              </w:rPr>
              <w:t>4.投标人具有依法缴纳社会保障资金良好记录的书面声明材料；</w:t>
            </w:r>
          </w:p>
          <w:p>
            <w:pPr>
              <w:rPr>
                <w:rFonts w:hint="eastAsia" w:ascii="仿宋" w:hAnsi="仿宋" w:eastAsia="仿宋" w:cs="仿宋"/>
              </w:rPr>
            </w:pPr>
            <w:r>
              <w:rPr>
                <w:rFonts w:hint="eastAsia" w:ascii="仿宋" w:hAnsi="仿宋" w:eastAsia="仿宋" w:cs="仿宋"/>
              </w:rPr>
              <w:t>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48"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3</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未被列入失信被执行人、重大税收违法案件当事人名单、政府采购严重违法失信行为记录名单</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 xml:space="preserve">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w:t>
            </w:r>
          </w:p>
          <w:p>
            <w:pPr>
              <w:rPr>
                <w:rFonts w:hint="eastAsia" w:ascii="仿宋" w:hAnsi="仿宋" w:eastAsia="仿宋" w:cs="仿宋"/>
              </w:rPr>
            </w:pPr>
            <w:r>
              <w:rPr>
                <w:rFonts w:hint="eastAsia" w:ascii="仿宋" w:hAnsi="仿宋" w:eastAsia="仿宋" w:cs="仿宋"/>
              </w:rPr>
              <w:t>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18"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4</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未处于被行政部门禁止参与政府采购活动的期限内</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投标人未处于被行政部门禁止参与政府采购活动的期限内。 【说明：①投标人按招标文件要求提供书面声明材料；②投标人未处于被行政部门禁止参与政府采购活动的期限内。】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19"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5</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行贿犯罪记录</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33"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6</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单位负责人为同一人或者存在直接控股、管理关系的不同供应商，不得参加同一项目的投标</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1"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7</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投标文件签章</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投标文件加盖有投标人（法定名称）电子签章。【说明：无须提供证明材料，上传空白页即可，不对本项上传的材料作资格审查】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2"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8</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投标文件资格响应文件的语言</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语言符合招标文件的要求。 【说明：投标人无须提供证明材料，上传空白页即可，不对本项上传的材料作资格审查】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46"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9</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法律、行政法规规定的其他条件</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采购人对法律、行政法规规定的其他条件无其他特殊要求，投标人可不提供证明材料。 【说明：投标人无须提供证明材料，上传空白页即可，不对本项上传的材料作资格审查】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97"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10</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不属于国家相关法律法规规定的其他禁止参加投标的情形</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1.根据招标文件的要求不属于禁止参加投标或投标无效的供应商；</w:t>
            </w:r>
          </w:p>
          <w:p>
            <w:pPr>
              <w:rPr>
                <w:rFonts w:hint="eastAsia" w:ascii="仿宋" w:hAnsi="仿宋" w:eastAsia="仿宋" w:cs="仿宋"/>
              </w:rPr>
            </w:pPr>
            <w:r>
              <w:rPr>
                <w:rFonts w:hint="eastAsia" w:ascii="仿宋" w:hAnsi="仿宋" w:eastAsia="仿宋" w:cs="仿宋"/>
              </w:rPr>
              <w:t>2.资格审查小组未发现或者未知晓投标人存在属于国家相关法律法规规定的禁止参加投标或投标无效的供应商。 【说明：投标人无须提供证明材料，上传空白页即可，不对本项上传的材料作资格审查】</w:t>
            </w:r>
          </w:p>
        </w:tc>
      </w:tr>
    </w:tbl>
    <w:p>
      <w:pPr>
        <w:rPr>
          <w:rFonts w:hint="eastAsia" w:ascii="仿宋" w:hAnsi="仿宋" w:eastAsia="仿宋" w:cs="仿宋"/>
        </w:rPr>
      </w:pPr>
      <w:r>
        <w:rPr>
          <w:rFonts w:hint="eastAsia" w:ascii="仿宋" w:hAnsi="仿宋" w:eastAsia="仿宋" w:cs="仿宋"/>
        </w:rPr>
        <w:t>其他资格要求：无。</w:t>
      </w:r>
    </w:p>
    <w:p>
      <w:pPr>
        <w:spacing w:line="360" w:lineRule="auto"/>
        <w:rPr>
          <w:rFonts w:hint="eastAsia" w:ascii="仿宋" w:hAnsi="仿宋" w:eastAsia="仿宋" w:cs="仿宋"/>
          <w:b/>
          <w:sz w:val="28"/>
          <w:szCs w:val="32"/>
        </w:rPr>
      </w:pPr>
      <w:r>
        <w:rPr>
          <w:rFonts w:hint="eastAsia" w:ascii="仿宋" w:hAnsi="仿宋" w:eastAsia="仿宋" w:cs="仿宋"/>
          <w:b/>
          <w:sz w:val="28"/>
          <w:szCs w:val="32"/>
        </w:rPr>
        <w:t>三、主要技术要求与标准</w:t>
      </w:r>
    </w:p>
    <w:p>
      <w:pPr>
        <w:pStyle w:val="4"/>
        <w:spacing w:before="156" w:beforeLines="50" w:after="156" w:afterLines="50"/>
        <w:ind w:firstLine="422"/>
        <w:rPr>
          <w:rFonts w:hint="eastAsia" w:ascii="仿宋" w:hAnsi="仿宋" w:eastAsia="仿宋" w:cs="仿宋"/>
          <w:b/>
          <w:lang w:val="en-US" w:eastAsia="zh-CN"/>
        </w:rPr>
      </w:pPr>
      <w:r>
        <w:rPr>
          <w:rFonts w:hint="eastAsia" w:ascii="仿宋" w:hAnsi="仿宋" w:eastAsia="仿宋" w:cs="仿宋"/>
          <w:b/>
        </w:rPr>
        <w:t>包1：食堂专用设备类</w:t>
      </w:r>
      <w:r>
        <w:rPr>
          <w:rFonts w:hint="eastAsia" w:ascii="仿宋" w:hAnsi="仿宋" w:eastAsia="仿宋" w:cs="仿宋"/>
          <w:b/>
          <w:lang w:val="en-US" w:eastAsia="zh-CN"/>
        </w:rPr>
        <w:t>拟采购清单</w:t>
      </w:r>
    </w:p>
    <w:tbl>
      <w:tblPr>
        <w:tblStyle w:val="9"/>
        <w:tblW w:w="8115" w:type="dxa"/>
        <w:tblInd w:w="96" w:type="dxa"/>
        <w:tblLayout w:type="fixed"/>
        <w:tblCellMar>
          <w:top w:w="0" w:type="dxa"/>
          <w:left w:w="108" w:type="dxa"/>
          <w:bottom w:w="0" w:type="dxa"/>
          <w:right w:w="108" w:type="dxa"/>
        </w:tblCellMar>
      </w:tblPr>
      <w:tblGrid>
        <w:gridCol w:w="721"/>
        <w:gridCol w:w="2410"/>
        <w:gridCol w:w="771"/>
        <w:gridCol w:w="1425"/>
        <w:gridCol w:w="1388"/>
        <w:gridCol w:w="1400"/>
      </w:tblGrid>
      <w:tr>
        <w:tblPrEx>
          <w:tblCellMar>
            <w:top w:w="0" w:type="dxa"/>
            <w:left w:w="108" w:type="dxa"/>
            <w:bottom w:w="0" w:type="dxa"/>
            <w:right w:w="108" w:type="dxa"/>
          </w:tblCellMar>
        </w:tblPrEx>
        <w:trPr>
          <w:trHeight w:val="284" w:hRule="atLeast"/>
        </w:trPr>
        <w:tc>
          <w:tcPr>
            <w:tcW w:w="721" w:type="dxa"/>
            <w:tcBorders>
              <w:top w:val="single" w:color="000000" w:sz="8" w:space="0"/>
              <w:left w:val="single" w:color="000000" w:sz="8" w:space="0"/>
              <w:bottom w:val="single" w:color="auto" w:sz="4" w:space="0"/>
              <w:right w:val="single" w:color="000000" w:sz="8" w:space="0"/>
            </w:tcBorders>
            <w:shd w:val="clear" w:color="auto" w:fill="auto"/>
          </w:tcPr>
          <w:p>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bidi="ar"/>
              </w:rPr>
              <w:t>序号</w:t>
            </w:r>
          </w:p>
        </w:tc>
        <w:tc>
          <w:tcPr>
            <w:tcW w:w="2410" w:type="dxa"/>
            <w:tcBorders>
              <w:top w:val="single" w:color="000000" w:sz="8" w:space="0"/>
              <w:left w:val="single" w:color="000000" w:sz="8" w:space="0"/>
              <w:bottom w:val="single" w:color="auto" w:sz="4" w:space="0"/>
              <w:right w:val="single" w:color="000000" w:sz="8" w:space="0"/>
            </w:tcBorders>
            <w:shd w:val="clear" w:color="auto" w:fill="auto"/>
          </w:tcPr>
          <w:p>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bidi="ar"/>
              </w:rPr>
              <w:t>拟采购清单</w:t>
            </w:r>
          </w:p>
        </w:tc>
        <w:tc>
          <w:tcPr>
            <w:tcW w:w="771" w:type="dxa"/>
            <w:tcBorders>
              <w:top w:val="single" w:color="000000" w:sz="8" w:space="0"/>
              <w:left w:val="single" w:color="000000" w:sz="8" w:space="0"/>
              <w:bottom w:val="single" w:color="auto" w:sz="4" w:space="0"/>
              <w:right w:val="single" w:color="000000" w:sz="8" w:space="0"/>
            </w:tcBorders>
            <w:shd w:val="clear" w:color="auto" w:fill="auto"/>
          </w:tcPr>
          <w:p>
            <w:pPr>
              <w:adjustRightInd w:val="0"/>
              <w:snapToGrid w:val="0"/>
              <w:jc w:val="center"/>
              <w:rPr>
                <w:rFonts w:hint="eastAsia" w:ascii="仿宋" w:hAnsi="仿宋" w:eastAsia="仿宋" w:cs="仿宋"/>
                <w:b/>
                <w:szCs w:val="21"/>
                <w:lang w:eastAsia="zh-CN" w:bidi="ar"/>
              </w:rPr>
            </w:pPr>
            <w:r>
              <w:rPr>
                <w:rFonts w:hint="eastAsia" w:ascii="仿宋" w:hAnsi="仿宋" w:eastAsia="仿宋" w:cs="仿宋"/>
                <w:b/>
                <w:szCs w:val="21"/>
                <w:lang w:eastAsia="zh-CN" w:bidi="ar"/>
              </w:rPr>
              <w:t>单位</w:t>
            </w:r>
          </w:p>
        </w:tc>
        <w:tc>
          <w:tcPr>
            <w:tcW w:w="1425" w:type="dxa"/>
            <w:tcBorders>
              <w:top w:val="single" w:color="000000" w:sz="8" w:space="0"/>
              <w:left w:val="single" w:color="000000" w:sz="8" w:space="0"/>
              <w:bottom w:val="single" w:color="auto" w:sz="4" w:space="0"/>
              <w:right w:val="single" w:color="000000" w:sz="8" w:space="0"/>
            </w:tcBorders>
            <w:shd w:val="clear" w:color="auto" w:fill="auto"/>
          </w:tcPr>
          <w:p>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bidi="ar"/>
              </w:rPr>
              <w:t>预估数量</w:t>
            </w:r>
          </w:p>
        </w:tc>
        <w:tc>
          <w:tcPr>
            <w:tcW w:w="1388" w:type="dxa"/>
            <w:tcBorders>
              <w:top w:val="single" w:color="000000" w:sz="8" w:space="0"/>
              <w:left w:val="single" w:color="000000" w:sz="8" w:space="0"/>
              <w:bottom w:val="single" w:color="auto" w:sz="4" w:space="0"/>
              <w:right w:val="single" w:color="000000" w:sz="8" w:space="0"/>
            </w:tcBorders>
            <w:shd w:val="clear" w:color="auto" w:fill="auto"/>
          </w:tcPr>
          <w:p>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val="en-US" w:eastAsia="zh-CN" w:bidi="ar"/>
              </w:rPr>
              <w:t>单价</w:t>
            </w:r>
            <w:r>
              <w:rPr>
                <w:rFonts w:hint="eastAsia" w:ascii="仿宋" w:hAnsi="仿宋" w:eastAsia="仿宋" w:cs="仿宋"/>
                <w:b/>
                <w:szCs w:val="21"/>
                <w:lang w:bidi="ar"/>
              </w:rPr>
              <w:t>（元）</w:t>
            </w:r>
          </w:p>
        </w:tc>
        <w:tc>
          <w:tcPr>
            <w:tcW w:w="1400" w:type="dxa"/>
            <w:tcBorders>
              <w:top w:val="single" w:color="000000" w:sz="8" w:space="0"/>
              <w:left w:val="single" w:color="000000" w:sz="8" w:space="0"/>
              <w:bottom w:val="single" w:color="auto" w:sz="4" w:space="0"/>
              <w:right w:val="single" w:color="000000" w:sz="8" w:space="0"/>
            </w:tcBorders>
            <w:shd w:val="clear" w:color="auto" w:fill="auto"/>
          </w:tcPr>
          <w:p>
            <w:pPr>
              <w:adjustRightInd w:val="0"/>
              <w:snapToGrid w:val="0"/>
              <w:jc w:val="center"/>
              <w:rPr>
                <w:rFonts w:hint="eastAsia" w:ascii="仿宋" w:hAnsi="仿宋" w:eastAsia="仿宋" w:cs="仿宋"/>
                <w:b/>
                <w:szCs w:val="21"/>
                <w:lang w:val="en-US" w:eastAsia="zh-CN" w:bidi="ar"/>
              </w:rPr>
            </w:pPr>
            <w:r>
              <w:rPr>
                <w:rFonts w:hint="eastAsia" w:ascii="仿宋" w:hAnsi="仿宋" w:eastAsia="仿宋" w:cs="仿宋"/>
                <w:b/>
                <w:szCs w:val="21"/>
                <w:lang w:val="en-US" w:eastAsia="zh-CN" w:bidi="ar"/>
              </w:rPr>
              <w:t>金额（元）</w:t>
            </w:r>
          </w:p>
        </w:tc>
      </w:tr>
      <w:tr>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六门冰箱</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9000.00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54,000.00</w:t>
            </w:r>
          </w:p>
        </w:tc>
      </w:tr>
      <w:tr>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燃气单头小炒炉</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8000.00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16,000.00</w:t>
            </w:r>
          </w:p>
        </w:tc>
      </w:tr>
      <w:tr>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中餐燃气炒菜灶</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18000.00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54,000.00</w:t>
            </w:r>
          </w:p>
        </w:tc>
      </w:tr>
      <w:tr>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单眼吊汤燃气灶</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5,000.00</w:t>
            </w:r>
          </w:p>
        </w:tc>
      </w:tr>
      <w:tr>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单头燃气大锅灶</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12500.00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25,000.00</w:t>
            </w:r>
          </w:p>
        </w:tc>
      </w:tr>
      <w:tr>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热风循环消毒柜</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9100.00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9,100.00</w:t>
            </w:r>
          </w:p>
        </w:tc>
      </w:tr>
      <w:tr>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7</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刀具消毒柜</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3400.00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3,400.00</w:t>
            </w:r>
          </w:p>
        </w:tc>
      </w:tr>
      <w:tr>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双门燃气蒸饭柜</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25000.00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50,000.00</w:t>
            </w:r>
          </w:p>
        </w:tc>
      </w:tr>
      <w:tr>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9</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三网双刀绞肉机</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30000.00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30,000.00</w:t>
            </w:r>
          </w:p>
        </w:tc>
      </w:tr>
      <w:tr>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微波炉</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3500.00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3,500.00</w:t>
            </w:r>
          </w:p>
        </w:tc>
      </w:tr>
      <w:tr>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单头电磁炉</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2500.00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5,000.00</w:t>
            </w:r>
          </w:p>
        </w:tc>
      </w:tr>
      <w:tr>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双门立式保鲜柜</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10,000.00</w:t>
            </w:r>
          </w:p>
        </w:tc>
      </w:tr>
      <w:tr>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卧式冰柜</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3500.00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3,500.00</w:t>
            </w:r>
          </w:p>
        </w:tc>
      </w:tr>
      <w:tr>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制冰机</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5,000.00</w:t>
            </w:r>
          </w:p>
        </w:tc>
      </w:tr>
      <w:tr>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电炸炉</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4,000.00</w:t>
            </w:r>
          </w:p>
        </w:tc>
      </w:tr>
      <w:tr>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电饭煲</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个</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2,000.00</w:t>
            </w:r>
          </w:p>
        </w:tc>
      </w:tr>
      <w:tr>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17</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四层栅格菜架</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个</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8,000.00</w:t>
            </w:r>
          </w:p>
        </w:tc>
      </w:tr>
      <w:tr>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风幕机</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2500.00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12,500.00</w:t>
            </w:r>
          </w:p>
        </w:tc>
      </w:tr>
      <w:tr>
        <w:tblPrEx>
          <w:tblCellMar>
            <w:top w:w="0" w:type="dxa"/>
            <w:left w:w="108" w:type="dxa"/>
            <w:bottom w:w="0" w:type="dxa"/>
            <w:right w:w="108" w:type="dxa"/>
          </w:tblCellMar>
        </w:tblPrEx>
        <w:trPr>
          <w:trHeight w:val="284" w:hRule="exact"/>
        </w:trPr>
        <w:tc>
          <w:tcPr>
            <w:tcW w:w="6715"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合计金额</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300,000.00</w:t>
            </w:r>
          </w:p>
        </w:tc>
      </w:tr>
    </w:tbl>
    <w:p>
      <w:pPr>
        <w:spacing w:line="360" w:lineRule="auto"/>
        <w:rPr>
          <w:rFonts w:hint="eastAsia" w:ascii="仿宋" w:hAnsi="仿宋" w:eastAsia="仿宋" w:cs="仿宋"/>
          <w:b/>
        </w:rPr>
      </w:pP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709"/>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91" w:type="pct"/>
            <w:vAlign w:val="center"/>
          </w:tcPr>
          <w:p>
            <w:pPr>
              <w:adjustRightInd w:val="0"/>
              <w:snapToGrid w:val="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序号</w:t>
            </w:r>
          </w:p>
        </w:tc>
        <w:tc>
          <w:tcPr>
            <w:tcW w:w="1003" w:type="pct"/>
            <w:vAlign w:val="center"/>
          </w:tcPr>
          <w:p>
            <w:pPr>
              <w:adjustRightInd w:val="0"/>
              <w:snapToGrid w:val="0"/>
              <w:jc w:val="center"/>
              <w:rPr>
                <w:rFonts w:hint="default" w:ascii="仿宋" w:hAnsi="仿宋" w:eastAsia="仿宋" w:cs="仿宋"/>
                <w:b/>
                <w:bCs/>
                <w:kern w:val="0"/>
                <w:sz w:val="20"/>
                <w:szCs w:val="20"/>
                <w:lang w:val="en-US" w:eastAsia="zh-CN"/>
              </w:rPr>
            </w:pPr>
            <w:r>
              <w:rPr>
                <w:rFonts w:hint="eastAsia" w:ascii="仿宋" w:hAnsi="仿宋" w:eastAsia="仿宋" w:cs="仿宋"/>
                <w:b/>
                <w:bCs/>
                <w:kern w:val="0"/>
                <w:sz w:val="20"/>
                <w:szCs w:val="20"/>
                <w:lang w:val="en-US" w:eastAsia="zh-CN"/>
              </w:rPr>
              <w:t>品目</w:t>
            </w:r>
          </w:p>
        </w:tc>
        <w:tc>
          <w:tcPr>
            <w:tcW w:w="3505" w:type="pct"/>
            <w:vAlign w:val="center"/>
          </w:tcPr>
          <w:p>
            <w:pPr>
              <w:adjustRightInd w:val="0"/>
              <w:snapToGrid w:val="0"/>
              <w:jc w:val="center"/>
              <w:rPr>
                <w:rFonts w:hint="default" w:ascii="仿宋" w:hAnsi="仿宋" w:eastAsia="仿宋" w:cs="仿宋"/>
                <w:b/>
                <w:bCs/>
                <w:kern w:val="0"/>
                <w:sz w:val="20"/>
                <w:szCs w:val="20"/>
                <w:lang w:val="en-US" w:eastAsia="zh-CN"/>
              </w:rPr>
            </w:pPr>
            <w:r>
              <w:rPr>
                <w:rFonts w:hint="eastAsia" w:ascii="仿宋" w:hAnsi="仿宋" w:eastAsia="仿宋" w:cs="仿宋"/>
                <w:b/>
                <w:bCs/>
                <w:kern w:val="0"/>
                <w:sz w:val="20"/>
                <w:szCs w:val="20"/>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六门冰箱</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1、制冷方式：直冷；尺寸：≥1800×710×2000（mm）；温控类型：机械\数显；冷藏室温度：+10℃～-1℃；冷冻室温度：-10℃～-18℃；电源：220V50Hz，功率：≥690W；门数：实体六门；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2、产品内胆材质达到食品级；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3、进行恒定湿热试验后，应能正常工作，符合GB/T 2423.3-2016《 环境试验 第2部分：试验方法 试验Cab：恒定湿热试验》；进行盐雾试验后，应无明显腐蚀现象，符合GB/T 2423.17-2008《电工电子产品环境试验 第2部分试验方法 试验Ka盐雾》</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4、净容积：≥1330L；双机双温，冷冻室温度等级不低于L3级（-12℃～-15℃）、冷藏室温度等级不低于H2级（+10℃～-1℃）标准下，带防凝露电加热，总能量消耗：≤5.50kwh/24h；依据GB 26920.2-2015《商用制冷器具能效限定值和能效等级　第2部分：自携冷凝机组商用冷柜》达到一级能效标准。</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燃气单头小炒炉</w:t>
            </w:r>
          </w:p>
        </w:tc>
        <w:tc>
          <w:tcPr>
            <w:tcW w:w="3505" w:type="pct"/>
            <w:vAlign w:val="center"/>
          </w:tcPr>
          <w:p>
            <w:pPr>
              <w:numPr>
                <w:ilvl w:val="0"/>
                <w:numId w:val="0"/>
              </w:num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1、材质：不锈钢。尺寸：长宽高≥880*800*80+22.气源：天然气、液化气通用。</w:t>
            </w:r>
          </w:p>
          <w:p>
            <w:pPr>
              <w:numPr>
                <w:ilvl w:val="0"/>
                <w:numId w:val="0"/>
              </w:num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2、配不锈钢全钢摇摆水龙头；</w:t>
            </w:r>
          </w:p>
          <w:p>
            <w:pPr>
              <w:numPr>
                <w:ilvl w:val="0"/>
                <w:numId w:val="0"/>
              </w:num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3、燃烧噪声≦60dB(A)；</w:t>
            </w:r>
          </w:p>
          <w:p>
            <w:pPr>
              <w:numPr>
                <w:ilvl w:val="0"/>
                <w:numId w:val="0"/>
              </w:num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4、炉面配置炒围铸铁锅圈；炉面前沿设置水槽及滤水板；  </w:t>
            </w:r>
          </w:p>
          <w:p>
            <w:pPr>
              <w:numPr>
                <w:ilvl w:val="0"/>
                <w:numId w:val="0"/>
              </w:num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5、产品气密性、干烟气中CO、热效率、电气性能等符合国家标准； </w:t>
            </w:r>
          </w:p>
          <w:p>
            <w:pPr>
              <w:numPr>
                <w:ilvl w:val="0"/>
                <w:numId w:val="0"/>
              </w:num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6、配置离子熄火保护装置. </w:t>
            </w:r>
          </w:p>
          <w:p>
            <w:pPr>
              <w:pStyle w:val="3"/>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中餐燃气炒菜灶</w:t>
            </w:r>
          </w:p>
        </w:tc>
        <w:tc>
          <w:tcPr>
            <w:tcW w:w="3505"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1、额定电压：AC220V-240V，额定频率：50/60Hz，额定功率：≤45W；尺寸≥2000*1200*800+450;气源：天然气、液化气通用。</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2、不锈钢板制造，面板、前脸板厚δ≥1.2mm；外旁板、后立板201J1/J4，板厚δ≥1.0mm,龙骨架国标不锈钢方管25*38厚≥1.2mm；衬板电解镀锌钢板厚δ≥1.2mm,灶身双层热轧钢板，隔热层厚≥40,炉膛≥50厚耐高温材料；</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3、炉膛采用不锈钢合金材料；配全预混式节能炉头，≤43V直流风机 ，一键启动；</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4、产品符合GB35848-2018《商用燃气燃烧器具》要求；所投产品额定热负荷≥35KW*2，热负荷准确度±10%以内，热效率48%以上；</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5、设备有主板保护功能。</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6、设备有火力功率调节及火力显示</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单眼吊汤燃气灶</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1、气源：天然气、液化气通用。材质：201不锈钢。                                                                      2、熄火保护装置，燃气泄露（天然气、液化气）热电式熄火保护装置，开阀时间≤45s，闭阀时间≤60s。</w:t>
            </w:r>
          </w:p>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3、所投设备运行噪声≤80dB(A)，多炉头烟气中CO(a=1）含量不应大于0.1%。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单头燃气大锅灶</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1、整体采用304不锈钢板；面板≥1.2mm厚，围板、背板、侧板、后挡板≥1.2mm厚；</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2、内衬台面板、炉膛使用A3黑铁板，并以耐火砖砌实，前沿带溢水排污槽，配挡渣板；</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3、炉体骨架采用≥40*40*4（mm）角钢加固，立柱采用304≥Φ50*1.2mm不锈钢管内含钢柱，配可调节高度子弹脚；</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4、燃烧噪声≦60dB(A)；</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5、干烟气中CO（a=1）的含量≤0.03%；</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6、配不锈钢全钢摇摆水龙头；</w:t>
            </w:r>
          </w:p>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7、尺寸：≥1100*1150*800+450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热风循环消毒柜</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1、双门，全不锈钢外壳；外形参数：≥宽1200*厚600*高1900mm，容积：≥750L,功率：≥ 3000W；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2、电热方式高温消毒，120℃以上保持时间≥15分钟；在满载状态下内最高温度可达220℃以上；符合 GB17988-2008《食具消毒柜安全和卫生要求》、《消毒技术规范》2002年版的相关要求；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3、不锈钢箱体；导轨式四层快餐盘专用层架；热风循环，精确控温；子弹头柜脚；带独立温度显示器；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4、材质材料：箱体、层架等有可能与餐具接触的材料符合GB 4806.1-2016《食品安全国家标准 食品 接触材料及制品通用安全要求》。 </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7</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刀具消毒柜</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1、采用304#不锈钢外壳，有机玻璃门；紫外线杀菌，360度无盲区；容量:12把以上厨师刀，小刀数量12把以上，配锁；设有开门保险及消毒时间掣，设有挂墙孔。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8</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双门燃气蒸饭柜</w:t>
            </w:r>
          </w:p>
        </w:tc>
        <w:tc>
          <w:tcPr>
            <w:tcW w:w="3505"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1、材质：304不锈钢。气源：天然气。</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2、含防干烧功能；</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3、设置常明火种，即时熄火保护设计；双联电磁阀分步控制，自动脉冲电子点火，两组燃气开关，无极调速变频，火力大小数字可视化显示屏，故障代码显示；</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4、水胆加玻璃纤维保温材料；抽拉式层架设计，有锁轨道防止层架滑落；含水垢磁化管；</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5、产品符合GB35848-2018《商用燃气燃烧器具》要求；所投产品额定热负荷≥26KW，热负荷准确度±10%以内，热效率90%以上；</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6、含有燃气泄漏模块功能;</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7、含有风机功率调节及转速显示功能;</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8、含有火力功率调节及火力显示功能;</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9、含有自动恒温功能;</w:t>
            </w:r>
          </w:p>
          <w:p>
            <w:pPr>
              <w:pStyle w:val="2"/>
              <w:rPr>
                <w:rFonts w:hint="default"/>
                <w:lang w:val="en-US" w:eastAsia="zh-CN"/>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10、尺寸：≥1150*950*1920</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9</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三网双刀绞肉机</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1、整机采用SUS304不锈钢，表面喷砂处理，整机预期与食材接触的部位符合GB 4806.9-2016要求；传动方式为直接传动，无皮带，无链条，扭力大；具有马达过载自动停机自动复位功能；</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2、采用粗中细三个绞网切削，经大小不同孔板进行分割绞肉，能保持肉的颗粒口感和肉的观感度；</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3、防护等级不低于IP65级，可使用高压水枪直接清洗；</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4、入料尺寸：≥100mm，切割尺寸：3、4、6、8mm，生产能力：400-600Kg/小时；</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5、电压：380V 三相 50Hz，功率：≤4Kw。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10</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微波炉</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1、容量≥30L，外形尺寸≥570*525*360mm </w:t>
            </w:r>
          </w:p>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2、变频</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3、温度可调  </w:t>
            </w:r>
          </w:p>
          <w:p>
            <w:pPr>
              <w:adjustRightInd w:val="0"/>
              <w:snapToGrid w:val="0"/>
              <w:jc w:val="both"/>
              <w:rPr>
                <w:rFonts w:hint="default"/>
                <w:lang w:val="en-US" w:eastAsia="zh-CN"/>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4、不锈钢外观材质。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11</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单头电磁炉</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1、功率≥20KW</w:t>
            </w:r>
          </w:p>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2、材质：不锈钢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12</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双门立式保鲜柜</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1、容量≥500L</w:t>
            </w:r>
          </w:p>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2、层数≥4层</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3、功能：冷藏</w:t>
            </w:r>
          </w:p>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w:t>
            </w:r>
            <w: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t>制冷方式：直冷；尺寸：≥1200×700×1950（mm）；温控类型：机械\数显；温度：+10℃～</w:t>
            </w: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w:t>
            </w:r>
            <w: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t xml:space="preserve">1℃；电源：220V50Hz，功率：≥400W；门数：双门； </w:t>
            </w:r>
          </w:p>
          <w:p>
            <w:pPr>
              <w:adjustRightInd w:val="0"/>
              <w:snapToGrid w:val="0"/>
              <w:jc w:val="both"/>
              <w:rPr>
                <w:rFonts w:hint="default"/>
                <w:lang w:val="en-US" w:eastAsia="zh-CN"/>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w:t>
            </w:r>
            <w: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t xml:space="preserve">产品整机材质达到食品级；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13</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卧式冰柜</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1、容量≥500L</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2、功能：冷冻与冷藏，冷藏温度：-6～10℃</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冷冻温度：≤-18℃</w:t>
            </w:r>
          </w:p>
          <w:p>
            <w:pPr>
              <w:adjustRightInd w:val="0"/>
              <w:snapToGrid w:val="0"/>
              <w:jc w:val="both"/>
              <w:rPr>
                <w:rFonts w:hint="default"/>
                <w:lang w:val="en-US" w:eastAsia="zh-CN"/>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3、外形尺寸≥1960*810*900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14</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制冰机</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1、冷凝方式：风冷，冰型：方冰，日产冰量≥60KG，储冰量≥25KG。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15</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电炸炉</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1、优质不锈钢机身、炉盖、炸筛，原材料不锈钢符合GB 9684-2001对感观、重金属迁移量的要求。</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2、温度（℃）：30~300；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3、功率（kw）：≥12；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4、电压（V）：380；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5、油缸容量(L)：≥(20±2)+(20±2)；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6、外形尺寸≥800*800*900mm； </w:t>
            </w:r>
          </w:p>
          <w:p>
            <w:pPr>
              <w:adjustRightInd w:val="0"/>
              <w:snapToGrid w:val="0"/>
              <w:jc w:val="both"/>
              <w:rPr>
                <w:rFonts w:hint="default"/>
                <w:lang w:val="en-US" w:eastAsia="zh-CN"/>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7、配置两个不锈钢炸框。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16</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电饭煲</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1、电压：220V，功率：≤4000W；最大煮米量：≥8kg。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17</w:t>
            </w:r>
          </w:p>
        </w:tc>
        <w:tc>
          <w:tcPr>
            <w:tcW w:w="1003" w:type="pct"/>
            <w:vAlign w:val="center"/>
          </w:tcPr>
          <w:p>
            <w:pPr>
              <w:adjustRightInd w:val="0"/>
              <w:snapToGrid w:val="0"/>
              <w:jc w:val="left"/>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四层栅格菜架</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1、层板采用不锈钢管焊接；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2、立柱采用Φ38*1.2mm不锈钢管加配不锈钢可调子弹脚。</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产品焊接部位牢固，焊纹均匀一致，不允许有未焊透、裂纹等缺陷。外露焊缝均进行抛光或取色处理，产品抛光后表面纹理应均匀一致，不得有划痕、锤印及烧痕。产品表面粗糙度Ra≤2.5μm，立柱与横梁的垂直度≤1mm/m；</w:t>
            </w:r>
          </w:p>
          <w:p>
            <w:pPr>
              <w:pStyle w:val="2"/>
              <w:rPr>
                <w:rFonts w:hint="default"/>
                <w:lang w:val="en-US" w:eastAsia="zh-CN"/>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4、尺寸≥1200*500*1540。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18</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风幕机</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1、风速≥11m/s，噪音≤60dB；</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2、产品符合GB 4706.1-2005《家用和类似用途电器的安全 第1部分:通用要求》.GB 4706.27-2008《家用和类似用途电器的安全 第2部分：风扇的特殊要求》。</w:t>
            </w:r>
          </w:p>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3、长度1.8m。</w:t>
            </w:r>
          </w:p>
        </w:tc>
      </w:tr>
    </w:tbl>
    <w:p>
      <w:pPr>
        <w:pStyle w:val="4"/>
        <w:spacing w:before="156" w:beforeLines="50" w:after="156" w:afterLines="50"/>
        <w:ind w:firstLine="422"/>
        <w:rPr>
          <w:rFonts w:hint="eastAsia" w:ascii="仿宋" w:hAnsi="仿宋" w:eastAsia="仿宋" w:cs="仿宋"/>
          <w:b/>
        </w:rPr>
      </w:pPr>
      <w:r>
        <w:rPr>
          <w:rFonts w:hint="eastAsia" w:ascii="仿宋" w:hAnsi="仿宋" w:eastAsia="仿宋" w:cs="仿宋"/>
          <w:b/>
        </w:rPr>
        <w:t>包2：</w:t>
      </w:r>
      <w:r>
        <w:rPr>
          <w:rFonts w:hint="eastAsia" w:ascii="仿宋" w:hAnsi="仿宋" w:eastAsia="仿宋" w:cs="仿宋"/>
          <w:b/>
          <w:lang w:val="en-US" w:eastAsia="zh-CN"/>
        </w:rPr>
        <w:t>其他后勤专用设备拟采购清单</w:t>
      </w:r>
    </w:p>
    <w:tbl>
      <w:tblPr>
        <w:tblStyle w:val="9"/>
        <w:tblW w:w="0" w:type="auto"/>
        <w:tblInd w:w="96" w:type="dxa"/>
        <w:tblLayout w:type="autofit"/>
        <w:tblCellMar>
          <w:top w:w="0" w:type="dxa"/>
          <w:left w:w="108" w:type="dxa"/>
          <w:bottom w:w="0" w:type="dxa"/>
          <w:right w:w="108" w:type="dxa"/>
        </w:tblCellMar>
      </w:tblPr>
      <w:tblGrid>
        <w:gridCol w:w="638"/>
        <w:gridCol w:w="3366"/>
        <w:gridCol w:w="638"/>
        <w:gridCol w:w="1060"/>
        <w:gridCol w:w="1056"/>
        <w:gridCol w:w="1649"/>
      </w:tblGrid>
      <w:tr>
        <w:tblPrEx>
          <w:tblCellMar>
            <w:top w:w="0" w:type="dxa"/>
            <w:left w:w="108" w:type="dxa"/>
            <w:bottom w:w="0" w:type="dxa"/>
            <w:right w:w="108" w:type="dxa"/>
          </w:tblCellMar>
        </w:tblPrEx>
        <w:trPr>
          <w:trHeight w:val="259" w:hRule="atLeast"/>
        </w:trPr>
        <w:tc>
          <w:tcPr>
            <w:tcW w:w="0" w:type="auto"/>
            <w:tcBorders>
              <w:top w:val="single" w:color="000000" w:sz="8" w:space="0"/>
              <w:left w:val="single" w:color="000000" w:sz="8" w:space="0"/>
              <w:bottom w:val="single" w:color="auto" w:sz="4" w:space="0"/>
              <w:right w:val="single" w:color="000000" w:sz="8" w:space="0"/>
            </w:tcBorders>
            <w:shd w:val="clear" w:color="auto" w:fill="auto"/>
          </w:tcPr>
          <w:p>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bidi="ar"/>
              </w:rPr>
              <w:t>序号</w:t>
            </w:r>
          </w:p>
        </w:tc>
        <w:tc>
          <w:tcPr>
            <w:tcW w:w="0" w:type="auto"/>
            <w:tcBorders>
              <w:top w:val="single" w:color="000000" w:sz="8" w:space="0"/>
              <w:left w:val="single" w:color="000000" w:sz="8" w:space="0"/>
              <w:bottom w:val="single" w:color="auto" w:sz="4" w:space="0"/>
              <w:right w:val="single" w:color="000000" w:sz="8" w:space="0"/>
            </w:tcBorders>
            <w:shd w:val="clear" w:color="auto" w:fill="auto"/>
          </w:tcPr>
          <w:p>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bidi="ar"/>
              </w:rPr>
              <w:t>拟采购清单</w:t>
            </w:r>
          </w:p>
        </w:tc>
        <w:tc>
          <w:tcPr>
            <w:tcW w:w="0" w:type="auto"/>
            <w:tcBorders>
              <w:top w:val="single" w:color="000000" w:sz="8" w:space="0"/>
              <w:left w:val="single" w:color="000000" w:sz="8" w:space="0"/>
              <w:bottom w:val="single" w:color="auto" w:sz="4" w:space="0"/>
              <w:right w:val="single" w:color="000000" w:sz="8" w:space="0"/>
            </w:tcBorders>
            <w:shd w:val="clear" w:color="auto" w:fill="auto"/>
            <w:vAlign w:val="top"/>
          </w:tcPr>
          <w:p>
            <w:pPr>
              <w:adjustRightInd w:val="0"/>
              <w:snapToGrid w:val="0"/>
              <w:jc w:val="center"/>
              <w:rPr>
                <w:rFonts w:hint="eastAsia" w:ascii="仿宋" w:hAnsi="仿宋" w:eastAsia="仿宋" w:cs="仿宋"/>
                <w:b/>
                <w:kern w:val="2"/>
                <w:sz w:val="21"/>
                <w:szCs w:val="21"/>
                <w:lang w:val="en-US" w:eastAsia="zh-CN" w:bidi="ar"/>
              </w:rPr>
            </w:pPr>
            <w:r>
              <w:rPr>
                <w:rFonts w:hint="eastAsia" w:ascii="仿宋" w:hAnsi="仿宋" w:eastAsia="仿宋" w:cs="仿宋"/>
                <w:b/>
                <w:szCs w:val="21"/>
                <w:lang w:val="en-US" w:eastAsia="zh-CN" w:bidi="ar"/>
              </w:rPr>
              <w:t>单位</w:t>
            </w:r>
          </w:p>
        </w:tc>
        <w:tc>
          <w:tcPr>
            <w:tcW w:w="0" w:type="auto"/>
            <w:tcBorders>
              <w:top w:val="single" w:color="000000" w:sz="8" w:space="0"/>
              <w:left w:val="single" w:color="000000" w:sz="8" w:space="0"/>
              <w:bottom w:val="single" w:color="auto" w:sz="4" w:space="0"/>
              <w:right w:val="single" w:color="000000" w:sz="8" w:space="0"/>
            </w:tcBorders>
            <w:shd w:val="clear" w:color="auto" w:fill="auto"/>
            <w:vAlign w:val="top"/>
          </w:tcPr>
          <w:p>
            <w:pPr>
              <w:adjustRightInd w:val="0"/>
              <w:snapToGrid w:val="0"/>
              <w:jc w:val="center"/>
              <w:rPr>
                <w:rFonts w:hint="default" w:ascii="仿宋" w:hAnsi="仿宋" w:eastAsia="仿宋" w:cs="仿宋"/>
                <w:b/>
                <w:szCs w:val="21"/>
                <w:lang w:val="en-US" w:eastAsia="zh-CN" w:bidi="ar"/>
              </w:rPr>
            </w:pPr>
            <w:r>
              <w:rPr>
                <w:rFonts w:hint="eastAsia" w:ascii="仿宋" w:hAnsi="仿宋" w:eastAsia="仿宋" w:cs="仿宋"/>
                <w:b/>
                <w:szCs w:val="21"/>
                <w:lang w:bidi="ar"/>
              </w:rPr>
              <w:t>预估数量</w:t>
            </w:r>
          </w:p>
        </w:tc>
        <w:tc>
          <w:tcPr>
            <w:tcW w:w="0" w:type="auto"/>
            <w:tcBorders>
              <w:top w:val="single" w:color="000000" w:sz="8" w:space="0"/>
              <w:left w:val="single" w:color="000000" w:sz="8" w:space="0"/>
              <w:bottom w:val="single" w:color="auto" w:sz="4" w:space="0"/>
              <w:right w:val="single" w:color="000000" w:sz="8" w:space="0"/>
            </w:tcBorders>
            <w:shd w:val="clear" w:color="auto" w:fill="auto"/>
          </w:tcPr>
          <w:p>
            <w:pPr>
              <w:adjustRightInd w:val="0"/>
              <w:snapToGrid w:val="0"/>
              <w:jc w:val="center"/>
              <w:rPr>
                <w:rFonts w:hint="eastAsia" w:ascii="仿宋" w:hAnsi="仿宋" w:eastAsia="仿宋" w:cs="仿宋"/>
                <w:b/>
                <w:szCs w:val="21"/>
                <w:lang w:eastAsia="zh-CN" w:bidi="ar"/>
              </w:rPr>
            </w:pPr>
            <w:r>
              <w:rPr>
                <w:rFonts w:hint="eastAsia" w:ascii="仿宋" w:hAnsi="仿宋" w:eastAsia="仿宋" w:cs="仿宋"/>
                <w:b/>
                <w:szCs w:val="21"/>
                <w:lang w:val="en-US" w:eastAsia="zh-CN" w:bidi="ar"/>
              </w:rPr>
              <w:t>单价</w:t>
            </w:r>
          </w:p>
        </w:tc>
        <w:tc>
          <w:tcPr>
            <w:tcW w:w="1649" w:type="dxa"/>
            <w:tcBorders>
              <w:top w:val="single" w:color="000000" w:sz="8" w:space="0"/>
              <w:left w:val="single" w:color="000000" w:sz="8" w:space="0"/>
              <w:bottom w:val="single" w:color="auto" w:sz="4" w:space="0"/>
              <w:right w:val="single" w:color="000000" w:sz="8" w:space="0"/>
            </w:tcBorders>
            <w:shd w:val="clear" w:color="auto" w:fill="auto"/>
          </w:tcPr>
          <w:p>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val="en-US" w:eastAsia="zh-CN" w:bidi="ar"/>
              </w:rPr>
              <w:t>金额</w:t>
            </w:r>
            <w:r>
              <w:rPr>
                <w:rFonts w:hint="eastAsia" w:ascii="仿宋" w:hAnsi="仿宋" w:eastAsia="仿宋" w:cs="仿宋"/>
                <w:b/>
                <w:szCs w:val="21"/>
                <w:lang w:bidi="ar"/>
              </w:rPr>
              <w:t>（元）</w:t>
            </w:r>
          </w:p>
        </w:tc>
      </w:tr>
      <w:tr>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szCs w:val="21"/>
                <w:lang w:bidi="ar"/>
              </w:rPr>
            </w:pPr>
            <w:r>
              <w:rPr>
                <w:rFonts w:hint="eastAsia" w:ascii="仿宋" w:hAnsi="仿宋" w:eastAsia="仿宋" w:cs="仿宋"/>
                <w:szCs w:val="21"/>
                <w:lang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红外热成像仪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38000.00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38,000.00 </w:t>
            </w:r>
          </w:p>
        </w:tc>
      </w:tr>
      <w:tr>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szCs w:val="21"/>
                <w:lang w:val="en-US" w:eastAsia="zh-CN" w:bidi="ar"/>
              </w:rPr>
            </w:pPr>
            <w:r>
              <w:rPr>
                <w:rFonts w:hint="eastAsia" w:ascii="仿宋" w:hAnsi="仿宋" w:eastAsia="仿宋" w:cs="仿宋"/>
                <w:szCs w:val="21"/>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伸缩宽带绿篱机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3500.00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7,000.00 </w:t>
            </w:r>
          </w:p>
        </w:tc>
      </w:tr>
      <w:tr>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szCs w:val="21"/>
                <w:lang w:val="en-US" w:eastAsia="zh-CN" w:bidi="ar"/>
              </w:rPr>
            </w:pPr>
            <w:r>
              <w:rPr>
                <w:rFonts w:hint="eastAsia" w:ascii="仿宋" w:hAnsi="仿宋" w:eastAsia="仿宋" w:cs="仿宋"/>
                <w:szCs w:val="21"/>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电动环卫清运车（加简易车篷）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5600.00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22,400.00 </w:t>
            </w:r>
          </w:p>
        </w:tc>
      </w:tr>
      <w:tr>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szCs w:val="21"/>
                <w:lang w:val="en-US" w:eastAsia="zh-CN" w:bidi="ar"/>
              </w:rPr>
            </w:pPr>
            <w:r>
              <w:rPr>
                <w:rFonts w:hint="eastAsia" w:ascii="仿宋" w:hAnsi="仿宋" w:eastAsia="仿宋" w:cs="仿宋"/>
                <w:szCs w:val="21"/>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充电式绿篱机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3800.00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22,800.00 </w:t>
            </w:r>
          </w:p>
        </w:tc>
      </w:tr>
      <w:tr>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sz w:val="21"/>
                <w:szCs w:val="21"/>
                <w:lang w:eastAsia="zh-CN" w:bidi="ar"/>
              </w:rPr>
            </w:pPr>
            <w:r>
              <w:rPr>
                <w:rStyle w:val="13"/>
                <w:rFonts w:hint="eastAsia" w:ascii="仿宋" w:hAnsi="仿宋" w:eastAsia="仿宋" w:cs="仿宋"/>
                <w:b w:val="0"/>
                <w:sz w:val="21"/>
                <w:szCs w:val="21"/>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草坪修剪机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3900.00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42,900.00 </w:t>
            </w:r>
          </w:p>
        </w:tc>
      </w:tr>
      <w:tr>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sz w:val="21"/>
                <w:szCs w:val="21"/>
                <w:lang w:eastAsia="zh-CN" w:bidi="ar"/>
              </w:rPr>
            </w:pPr>
            <w:r>
              <w:rPr>
                <w:rStyle w:val="13"/>
                <w:rFonts w:hint="eastAsia" w:ascii="仿宋" w:hAnsi="仿宋" w:eastAsia="仿宋" w:cs="仿宋"/>
                <w:b w:val="0"/>
                <w:sz w:val="21"/>
                <w:szCs w:val="21"/>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绿篱修剪机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3400.00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6,800.00 </w:t>
            </w:r>
          </w:p>
        </w:tc>
      </w:tr>
      <w:tr>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sz w:val="21"/>
                <w:szCs w:val="21"/>
                <w:lang w:eastAsia="zh-CN" w:bidi="ar"/>
              </w:rPr>
            </w:pPr>
            <w:r>
              <w:rPr>
                <w:rStyle w:val="13"/>
                <w:rFonts w:hint="eastAsia" w:ascii="仿宋" w:hAnsi="仿宋" w:eastAsia="仿宋" w:cs="仿宋"/>
                <w:b w:val="0"/>
                <w:sz w:val="21"/>
                <w:szCs w:val="21"/>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割灌机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2900.00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5,800.00 </w:t>
            </w:r>
          </w:p>
        </w:tc>
      </w:tr>
      <w:tr>
        <w:tblPrEx>
          <w:tblCellMar>
            <w:top w:w="0" w:type="dxa"/>
            <w:left w:w="108" w:type="dxa"/>
            <w:bottom w:w="0" w:type="dxa"/>
            <w:right w:w="108" w:type="dxa"/>
          </w:tblCellMar>
        </w:tblPrEx>
        <w:trPr>
          <w:trHeight w:val="30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sz w:val="21"/>
                <w:szCs w:val="21"/>
                <w:lang w:eastAsia="zh-CN" w:bidi="ar"/>
              </w:rPr>
            </w:pPr>
            <w:r>
              <w:rPr>
                <w:rStyle w:val="13"/>
                <w:rFonts w:hint="eastAsia" w:ascii="仿宋" w:hAnsi="仿宋" w:eastAsia="仿宋" w:cs="仿宋"/>
                <w:b w:val="0"/>
                <w:sz w:val="21"/>
                <w:szCs w:val="21"/>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高枝油锯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3600.00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7,200.00 </w:t>
            </w:r>
          </w:p>
        </w:tc>
      </w:tr>
      <w:tr>
        <w:tblPrEx>
          <w:tblCellMar>
            <w:top w:w="0" w:type="dxa"/>
            <w:left w:w="108" w:type="dxa"/>
            <w:bottom w:w="0" w:type="dxa"/>
            <w:right w:w="108" w:type="dxa"/>
          </w:tblCellMar>
        </w:tblPrEx>
        <w:trPr>
          <w:trHeight w:val="25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油锯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2600.00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5,200.00 </w:t>
            </w:r>
          </w:p>
        </w:tc>
      </w:tr>
      <w:tr>
        <w:tblPrEx>
          <w:tblCellMar>
            <w:top w:w="0" w:type="dxa"/>
            <w:left w:w="108" w:type="dxa"/>
            <w:bottom w:w="0" w:type="dxa"/>
            <w:right w:w="108" w:type="dxa"/>
          </w:tblCellMar>
        </w:tblPrEx>
        <w:trPr>
          <w:trHeight w:val="25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吹风机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1600.00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6,400.00 </w:t>
            </w:r>
          </w:p>
        </w:tc>
      </w:tr>
      <w:tr>
        <w:tblPrEx>
          <w:tblCellMar>
            <w:top w:w="0" w:type="dxa"/>
            <w:left w:w="108" w:type="dxa"/>
            <w:bottom w:w="0" w:type="dxa"/>
            <w:right w:w="108" w:type="dxa"/>
          </w:tblCellMar>
        </w:tblPrEx>
        <w:trPr>
          <w:trHeight w:val="25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电动三轮车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8400.00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16,800.00 </w:t>
            </w:r>
          </w:p>
        </w:tc>
      </w:tr>
      <w:tr>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自卸式垃圾清运车（电动三轮车）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15000.00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30,000.00 </w:t>
            </w:r>
          </w:p>
        </w:tc>
      </w:tr>
      <w:tr>
        <w:tblPrEx>
          <w:tblCellMar>
            <w:top w:w="0" w:type="dxa"/>
            <w:left w:w="108" w:type="dxa"/>
            <w:bottom w:w="0" w:type="dxa"/>
            <w:right w:w="108" w:type="dxa"/>
          </w:tblCellMar>
        </w:tblPrEx>
        <w:trPr>
          <w:trHeight w:val="31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四轮巡逻车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31000.00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31,000.00 </w:t>
            </w:r>
          </w:p>
        </w:tc>
      </w:tr>
      <w:tr>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手枪钻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1000.00</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2,000.00 </w:t>
            </w:r>
          </w:p>
        </w:tc>
      </w:tr>
      <w:tr>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2000.00</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4,000.00 </w:t>
            </w:r>
          </w:p>
        </w:tc>
      </w:tr>
      <w:tr>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激光测距仪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1000.00</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1,000.00 </w:t>
            </w:r>
          </w:p>
        </w:tc>
      </w:tr>
      <w:tr>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平板电脑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1400.00</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8,400.00 </w:t>
            </w:r>
          </w:p>
        </w:tc>
      </w:tr>
      <w:tr>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洗车机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2300.00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2,300.00 </w:t>
            </w:r>
          </w:p>
        </w:tc>
      </w:tr>
      <w:tr>
        <w:tblPrEx>
          <w:tblCellMar>
            <w:top w:w="0" w:type="dxa"/>
            <w:left w:w="108" w:type="dxa"/>
            <w:bottom w:w="0" w:type="dxa"/>
            <w:right w:w="108" w:type="dxa"/>
          </w:tblCellMar>
        </w:tblPrEx>
        <w:trPr>
          <w:trHeight w:val="284" w:hRule="atLeast"/>
        </w:trPr>
        <w:tc>
          <w:tcPr>
            <w:tcW w:w="67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color w:val="000000" w:themeColor="text1"/>
                <w:sz w:val="21"/>
                <w:szCs w:val="21"/>
                <w:lang w:bidi="ar"/>
                <w14:textFill>
                  <w14:solidFill>
                    <w14:schemeClr w14:val="tx1"/>
                  </w14:solidFill>
                </w14:textFill>
              </w:rPr>
              <w:t>合计</w:t>
            </w:r>
            <w:r>
              <w:rPr>
                <w:rStyle w:val="13"/>
                <w:rFonts w:hint="eastAsia" w:ascii="仿宋" w:hAnsi="仿宋" w:eastAsia="仿宋" w:cs="仿宋"/>
                <w:b w:val="0"/>
                <w:color w:val="000000" w:themeColor="text1"/>
                <w:sz w:val="21"/>
                <w:szCs w:val="21"/>
                <w:lang w:val="en-US" w:eastAsia="zh-CN" w:bidi="ar"/>
                <w14:textFill>
                  <w14:solidFill>
                    <w14:schemeClr w14:val="tx1"/>
                  </w14:solidFill>
                </w14:textFill>
              </w:rPr>
              <w:t>金额（元）</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color w:val="000000" w:themeColor="text1"/>
                <w:sz w:val="21"/>
                <w:szCs w:val="21"/>
                <w:lang w:val="en-US" w:eastAsia="zh-CN" w:bidi="ar"/>
                <w14:textFill>
                  <w14:solidFill>
                    <w14:schemeClr w14:val="tx1"/>
                  </w14:solidFill>
                </w14:textFill>
              </w:rPr>
              <w:t>260,000.00</w:t>
            </w:r>
          </w:p>
        </w:tc>
      </w:tr>
    </w:tbl>
    <w:p>
      <w:pPr>
        <w:spacing w:line="360" w:lineRule="auto"/>
        <w:ind w:firstLine="422" w:firstLineChars="200"/>
        <w:rPr>
          <w:rFonts w:hint="default" w:ascii="仿宋" w:hAnsi="仿宋" w:eastAsia="仿宋" w:cs="仿宋"/>
          <w:b/>
          <w:lang w:val="en-US" w:eastAsia="zh-CN"/>
        </w:rPr>
      </w:pPr>
      <w:r>
        <w:rPr>
          <w:rFonts w:hint="eastAsia" w:ascii="仿宋" w:hAnsi="仿宋" w:eastAsia="仿宋" w:cs="仿宋"/>
          <w:b/>
          <w:lang w:val="en-US" w:eastAsia="zh-CN"/>
        </w:rPr>
        <w:t>包2：主要技术参数：</w:t>
      </w:r>
    </w:p>
    <w:tbl>
      <w:tblPr>
        <w:tblStyle w:val="10"/>
        <w:tblW w:w="84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31"/>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rPr>
                <w:rFonts w:hint="eastAsia" w:ascii="仿宋" w:hAnsi="仿宋" w:eastAsia="仿宋" w:cs="仿宋"/>
                <w:b/>
                <w:kern w:val="0"/>
                <w:sz w:val="20"/>
                <w:szCs w:val="20"/>
              </w:rPr>
            </w:pPr>
            <w:r>
              <w:rPr>
                <w:rFonts w:hint="eastAsia" w:ascii="仿宋" w:hAnsi="仿宋" w:eastAsia="仿宋" w:cs="仿宋"/>
                <w:b/>
                <w:kern w:val="0"/>
                <w:sz w:val="20"/>
                <w:szCs w:val="20"/>
              </w:rPr>
              <w:t>序号</w:t>
            </w:r>
          </w:p>
        </w:tc>
        <w:tc>
          <w:tcPr>
            <w:tcW w:w="1731" w:type="dxa"/>
          </w:tcPr>
          <w:p>
            <w:pPr>
              <w:adjustRightInd w:val="0"/>
              <w:snapToGrid w:val="0"/>
              <w:rPr>
                <w:rFonts w:hint="eastAsia" w:ascii="仿宋" w:hAnsi="仿宋" w:eastAsia="仿宋" w:cs="仿宋"/>
                <w:b/>
                <w:kern w:val="0"/>
                <w:sz w:val="20"/>
                <w:szCs w:val="20"/>
              </w:rPr>
            </w:pPr>
            <w:r>
              <w:rPr>
                <w:rFonts w:hint="eastAsia" w:ascii="仿宋" w:hAnsi="仿宋" w:eastAsia="仿宋" w:cs="仿宋"/>
                <w:b/>
                <w:kern w:val="0"/>
                <w:sz w:val="20"/>
                <w:szCs w:val="20"/>
                <w:lang w:val="en-US" w:eastAsia="zh-CN"/>
              </w:rPr>
              <w:t>品目</w:t>
            </w:r>
          </w:p>
        </w:tc>
        <w:tc>
          <w:tcPr>
            <w:tcW w:w="5994" w:type="dxa"/>
          </w:tcPr>
          <w:p>
            <w:pPr>
              <w:adjustRightInd w:val="0"/>
              <w:snapToGrid w:val="0"/>
              <w:rPr>
                <w:rFonts w:hint="eastAsia" w:ascii="仿宋" w:hAnsi="仿宋" w:eastAsia="仿宋" w:cs="仿宋"/>
                <w:b/>
                <w:kern w:val="0"/>
                <w:sz w:val="20"/>
                <w:szCs w:val="20"/>
              </w:rPr>
            </w:pPr>
            <w:r>
              <w:rPr>
                <w:rFonts w:hint="eastAsia" w:ascii="仿宋" w:hAnsi="仿宋" w:eastAsia="仿宋" w:cs="仿宋"/>
                <w:b/>
                <w:kern w:val="0"/>
                <w:sz w:val="20"/>
                <w:szCs w:val="20"/>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eastAsia" w:ascii="仿宋" w:hAnsi="仿宋" w:eastAsia="仿宋" w:cs="仿宋"/>
                <w:kern w:val="0"/>
                <w:sz w:val="20"/>
                <w:szCs w:val="20"/>
                <w:lang w:eastAsia="zh-Hans"/>
              </w:rPr>
            </w:pPr>
            <w:r>
              <w:rPr>
                <w:rFonts w:hint="eastAsia" w:ascii="仿宋" w:hAnsi="仿宋" w:eastAsia="仿宋" w:cs="仿宋"/>
                <w:kern w:val="0"/>
                <w:sz w:val="20"/>
                <w:szCs w:val="20"/>
              </w:rPr>
              <w:t>1</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红外热成像仪</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红外分辨率：≥320*240；IFOV：≥1.86mRad；视场角：≥34.1°*25.6°；聚焦距离: ≥46cm；聚焦方式：手动对焦；无线连接：有；兼容APP：有；可选软件：有；红外与可见光融合技术：有；连续融合模式：有；画中画：有；显示：≥3.5英寸（8.9cm横屏）触投屏，320*240LCD；单手操作；目标温度30度时热灵敏度≤0.04°C；最小跨度（手动模式）：约2.5°C；最小跨度（自动模式）：约5°C；帧频：约9HZ；激光指示：是；热灵敏度：≤0.04°C；内置数码相机（可见光）：≥500万像素；内部储存：≥4G内存；电池：锂电池，可充电；测量温度：-20°C至400°C；温度测量精度：±2°C；通过屏幕进行反射背景温度补偿及透射率修正：有；电池：锂电池，连续≥4小时以上；颜射报警：高温、低温、等温线；红外波长：7.5-14μm；中心点温度测量：有；尺寸：约26.7cm*10.1cm*14.5cm；重量：≤0.72KG；防护等级≥IP54；语言支持：简体中、繁体中文、英文、法文、德文、意大利文、日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伸缩宽带绿篱机</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工作电压：≦36V，电池包容量：≧7.8Ah,净重：≦4.6kg，功率：≥1100W，转速：≧2150转/分，续航：≥6小时，充电时间：≦3小时，刀片长度：≧630mm，切割直径：≧35mm。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3</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电动环卫清运车（加简易车篷）</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箱体：容积≥500L，采用</w:t>
            </w:r>
            <w:r>
              <w:rPr>
                <w:rStyle w:val="13"/>
                <w:rFonts w:hint="eastAsia" w:ascii="仿宋" w:hAnsi="仿宋" w:eastAsia="仿宋" w:cs="仿宋"/>
                <w:b w:val="0"/>
                <w:bCs w:val="0"/>
                <w:color w:val="000000" w:themeColor="text1"/>
                <w:sz w:val="21"/>
                <w:szCs w:val="21"/>
                <w:lang w:val="en-US" w:eastAsia="zh-Hans" w:bidi="ar"/>
                <w14:textFill>
                  <w14:solidFill>
                    <w14:schemeClr w14:val="tx1"/>
                  </w14:solidFill>
                </w14:textFill>
              </w:rPr>
              <w:t>聚丙烯（PP）复合材料</w:t>
            </w: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一次性注塑成型，全封闭结构，可避免作业中垃圾滴漏飞扬；</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电池电机：</w:t>
            </w:r>
            <w:r>
              <w:rPr>
                <w:rStyle w:val="13"/>
                <w:rFonts w:hint="default" w:ascii="仿宋" w:hAnsi="仿宋" w:eastAsia="仿宋" w:cs="仿宋"/>
                <w:b w:val="0"/>
                <w:bCs w:val="0"/>
                <w:color w:val="000000" w:themeColor="text1"/>
                <w:sz w:val="21"/>
                <w:szCs w:val="21"/>
                <w:lang w:val="en-US" w:eastAsia="zh-Hans" w:bidi="ar"/>
                <w14:textFill>
                  <w14:solidFill>
                    <w14:schemeClr w14:val="tx1"/>
                  </w14:solidFill>
                </w14:textFill>
              </w:rPr>
              <w:t>免维护蓄电池组</w:t>
            </w:r>
            <w: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t>60V  32Ah.电机≥1200W.</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整车工艺：酸洗</w:t>
            </w:r>
            <w:r>
              <w:rPr>
                <w:rStyle w:val="13"/>
                <w:rFonts w:hint="eastAsia" w:ascii="仿宋" w:hAnsi="仿宋" w:eastAsia="仿宋" w:cs="仿宋"/>
                <w:b w:val="0"/>
                <w:bCs w:val="0"/>
                <w:color w:val="000000" w:themeColor="text1"/>
                <w:sz w:val="21"/>
                <w:szCs w:val="21"/>
                <w:lang w:val="en-US" w:eastAsia="zh-Hans" w:bidi="ar"/>
                <w14:textFill>
                  <w14:solidFill>
                    <w14:schemeClr w14:val="tx1"/>
                  </w14:solidFill>
                </w14:textFill>
              </w:rPr>
              <w:t>陶化+阴极</w:t>
            </w: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电泳+</w:t>
            </w:r>
            <w:r>
              <w:rPr>
                <w:rStyle w:val="13"/>
                <w:rFonts w:hint="eastAsia" w:ascii="仿宋" w:hAnsi="仿宋" w:eastAsia="仿宋" w:cs="仿宋"/>
                <w:b w:val="0"/>
                <w:bCs w:val="0"/>
                <w:color w:val="000000" w:themeColor="text1"/>
                <w:sz w:val="21"/>
                <w:szCs w:val="21"/>
                <w:lang w:val="en-US" w:eastAsia="zh-Hans" w:bidi="ar"/>
                <w14:textFill>
                  <w14:solidFill>
                    <w14:schemeClr w14:val="tx1"/>
                  </w14:solidFill>
                </w14:textFill>
              </w:rPr>
              <w:t>高温智能</w:t>
            </w: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烤漆。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4</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充电式绿篱机</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池：锂离子电池，功率：≧1.6kw电压：36v，刀片长度：≧750mm。刀片速度：≧2350rpm,电池容量：17.4AH，净重：≦4.0kg，持续续航时间：≧6小时，噪音≦70分贝，无刷无铁芯电机，无极调速，刀片sk51。切削直径≧35mm。充电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5</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草坪修剪机</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转速：≥3400r/min ；排量：≥163cc；功率：≥2.0kw</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净重：≤49kg；发动机性能：不低于本田GXV160；底壳材质：钢壳≥2mm,割副≥53cm；割草高度：20-80mm；集草袋容积：≥70L；驱动形式：手推。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6</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绿篱修剪机</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发动机排量：≥22.7cc；功率：≥0.7kw/1.0hp；整机质量：≤5.1kg；双刃刀片：≥750mm；刀齿间距：30mm；切割速度：≥5000/min；用于精准切割，配备高速切刀的专业工具，持久耐用的空气过滤系统，双边刀片，多功能旋转手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7</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割灌机</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二冲程汽油机排量：≥36.3cc；功率：≥1.3kw/1.8hp；把手：双把手；空滤芯：纸质；杆径及：≤杆径28mm；传动轴：10齿花健；质量：≤7.9kg。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8</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高枝油锯</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二冲程汽油机排量：≥25.4cc；功率：≥0.8kw；整机总长：≥3.5米；导板尺寸：≥0.3米；铝管管径：≥26mm；有效切割直径：≥0.3米；传动轴：二节伸缩式；质量：≤8.3kg；</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适合比较高和粗的树枝的锯割，其作业效率高于高能耗内燃汽油型高枝锯，比人工割灌提高功效10倍以上。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9</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油锯</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二冲程汽油机排量：≥42.9cc；功率：≥2.1kw/2.9HP；导板长度：≥18寸；燃油箱容积：≥0.48L；机油箱容积：≥0.33L；</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质量：≤4.8kg。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10</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吹风机</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二冲程汽油机排量：≥63.3cc；功率：≥2.7kw；油箱容积：≥1.8L；质量：≤9.6kg。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11</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电动三轮车</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配套电机：≥1300W；转向方式：方向把；轮距：≤820mm；轴距：≤1810mm；轮胎规格：前3.50-12后3.50-12；车箱尺寸：三开门/1300mm*2000m；总质量：403kg；装备质量：165kg；额定载质量：175kg；电池：≥72V/45A</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12</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自卸式垃圾清运车（电动三轮车）</w:t>
            </w:r>
          </w:p>
        </w:tc>
        <w:tc>
          <w:tcPr>
            <w:tcW w:w="5994" w:type="dxa"/>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类型：电动三轮车；动力：电动/蓄电池；后车厢尺寸≧1.8米*1.2米；车身总长≧3.2米；电机功率≧1500瓦；电池型号≧72V/45A；颜色：车身红色；三开门；驾驶室带雨棚，挡风玻璃带雨刷；10、带液压自卸功能≧500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13</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四轮巡逻车</w:t>
            </w:r>
          </w:p>
        </w:tc>
        <w:tc>
          <w:tcPr>
            <w:tcW w:w="5994" w:type="dxa"/>
            <w:vAlign w:val="top"/>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充电式，封闭式，钢制车架，冲压铁板承载车身，前麦弗逊式独立悬挂后整体式后桥＋多片钢板弹簧，筒式液压减震器，整车电泳磷化防锈处理，汽车烤漆，按采购方要求进行涂装。双排4座，座椅：高回弹海绵＋布面料，锂电池，≥72V，≥100Ah，智能充电孔（具有自动修复功能和充满断电保护功能），前进挡，停车挡，倒车档，电动雨刷，轴距≥2100cm，交流电机，电机功率：≥4000W，方向盘式，续航里程：≥100公里，公路专用真空轮胎≥155-65R13，铝合金轮毂，四轮液压刹车，离地间隙≥23cm，最大行驶速度≤40km/h；按采购人要求进行涂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14</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手枪钻</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≧18V 2.0Ah，无刷马达，金属夹头，最大扭矩50牛顿米，充电式，双电池。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15</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电锤</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锤击力：2.0焦耳，锤击率：0-5100次/分钟，≧18V 5.0A，充电式，双电池。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16</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激光测距仪</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测量范围：0.05-50米，测量精度：±1.5mm，长度、面积、体积、倾角、墙面积，蓝牙连接，水平尺，卷尺模式，亮度调节，IP65。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17</w:t>
            </w:r>
          </w:p>
        </w:tc>
        <w:tc>
          <w:tcPr>
            <w:tcW w:w="1731" w:type="dxa"/>
            <w:vAlign w:val="center"/>
          </w:tcPr>
          <w:p>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平板电脑</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网络连接：WiFi/WLAN；CPU性能:不低于骁龙680；屏幕类型：IPS；前置摄像头像素：≧500W;后置摄像头像素：≧500W;</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支持IPv6；运行内存：≧8GB；系统性能：不低于HarmonyOS；</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内存容量：≧128GB；分辨率：2000*1200；</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屏幕尺寸：≧10.4英寸。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18</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洗车机</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商用洗车机，外观类型：卧式；额定功率：3kW；电压：220V；</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额定压力：0一170bar；额定流量：≥15L/min；电机类型：感应电机；机芯材质：铜；泵体：多柱塞泵；出水管长度：≥20m；</w:t>
            </w:r>
          </w:p>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机身防水等级：≥IPX5。</w:t>
            </w:r>
          </w:p>
        </w:tc>
      </w:tr>
    </w:tbl>
    <w:p>
      <w:pPr>
        <w:spacing w:line="360" w:lineRule="auto"/>
        <w:ind w:firstLine="422" w:firstLineChars="200"/>
        <w:rPr>
          <w:rFonts w:hint="eastAsia" w:ascii="仿宋" w:hAnsi="仿宋" w:eastAsia="仿宋" w:cs="仿宋"/>
          <w:b/>
        </w:rPr>
      </w:pPr>
      <w:r>
        <w:rPr>
          <w:rFonts w:hint="eastAsia" w:ascii="仿宋" w:hAnsi="仿宋" w:eastAsia="仿宋" w:cs="仿宋"/>
          <w:b/>
        </w:rPr>
        <w:t>四、主要商务要求</w:t>
      </w:r>
    </w:p>
    <w:tbl>
      <w:tblPr>
        <w:tblStyle w:val="10"/>
        <w:tblpPr w:leftFromText="180" w:rightFromText="180" w:vertAnchor="text" w:horzAnchor="page" w:tblpX="1906"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6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服务期限</w:t>
            </w:r>
          </w:p>
        </w:tc>
        <w:tc>
          <w:tcPr>
            <w:tcW w:w="6625" w:type="dxa"/>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标的提供地点</w:t>
            </w:r>
          </w:p>
        </w:tc>
        <w:tc>
          <w:tcPr>
            <w:tcW w:w="6625" w:type="dxa"/>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西华大学指定地点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投标有效期</w:t>
            </w:r>
          </w:p>
        </w:tc>
        <w:tc>
          <w:tcPr>
            <w:tcW w:w="6625" w:type="dxa"/>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从提交投标文件的截止之日起30日历天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付款方式</w:t>
            </w:r>
          </w:p>
        </w:tc>
        <w:tc>
          <w:tcPr>
            <w:tcW w:w="6625" w:type="dxa"/>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合同签订后支付合同金额的 20%，验收合格后支付合同金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额 80%，同时需要开具相应增值税发票。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验收要求</w:t>
            </w:r>
          </w:p>
        </w:tc>
        <w:tc>
          <w:tcPr>
            <w:tcW w:w="6625" w:type="dxa"/>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1.验收地点及时间：由采购人指定。</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验收时，双方必须同时在场，中标人所提供的产品不符合合同内容规定的，采购人有权拒绝验收。中标人应及时按本合同内容规定和采购人要求免费进行整改，直至验收合格，方视为中标人按本合同规定完成服务。验收合格的，由双方共同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其他</w:t>
            </w:r>
          </w:p>
        </w:tc>
        <w:tc>
          <w:tcPr>
            <w:tcW w:w="6625" w:type="dxa"/>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服务要求:</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1.中标人须开通5×8小时热线电话及7×24小时客服人员电话，接受采购人的电话技术咨询和故障反馈。中标人应在48小时内提供现场服务。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2.中标人必须提供培训服务：培训内容包括系统使用培训。</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3.售后服务：1年。质保期内，中标人应对设备进行免费维护。</w:t>
            </w:r>
          </w:p>
        </w:tc>
      </w:tr>
    </w:tbl>
    <w:p>
      <w:pPr>
        <w:spacing w:line="360" w:lineRule="auto"/>
        <w:ind w:firstLine="422" w:firstLineChars="200"/>
        <w:rPr>
          <w:rFonts w:hint="eastAsia" w:ascii="仿宋" w:hAnsi="仿宋" w:eastAsia="仿宋" w:cs="仿宋"/>
          <w:b/>
        </w:rPr>
      </w:pPr>
      <w:bookmarkStart w:id="0" w:name="_GoBack"/>
      <w:bookmarkEnd w:id="0"/>
      <w:r>
        <w:rPr>
          <w:rFonts w:hint="eastAsia" w:ascii="仿宋" w:hAnsi="仿宋" w:eastAsia="仿宋" w:cs="仿宋"/>
          <w:b/>
        </w:rPr>
        <w:t>五、评审方法及分值</w:t>
      </w:r>
    </w:p>
    <w:p>
      <w:pPr>
        <w:spacing w:line="360" w:lineRule="auto"/>
        <w:ind w:firstLine="422" w:firstLineChars="200"/>
        <w:rPr>
          <w:rFonts w:hint="eastAsia" w:ascii="仿宋" w:hAnsi="仿宋" w:eastAsia="仿宋" w:cs="仿宋"/>
          <w:b/>
        </w:rPr>
      </w:pPr>
      <w:r>
        <w:rPr>
          <w:rFonts w:hint="eastAsia" w:ascii="仿宋" w:hAnsi="仿宋" w:eastAsia="仿宋" w:cs="仿宋"/>
          <w:b/>
        </w:rPr>
        <w:t>评审方法：综合评分法</w:t>
      </w:r>
    </w:p>
    <w:tbl>
      <w:tblPr>
        <w:tblStyle w:val="9"/>
        <w:tblW w:w="7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14"/>
        <w:gridCol w:w="2901"/>
        <w:gridCol w:w="147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包</w:t>
            </w: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序号</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评分因素</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分值</w:t>
            </w:r>
          </w:p>
        </w:tc>
        <w:tc>
          <w:tcPr>
            <w:tcW w:w="1299"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restart"/>
            <w:tcBorders>
              <w:top w:val="single" w:color="auto" w:sz="4" w:space="0"/>
              <w:left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1</w:t>
            </w: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default" w:ascii="仿宋" w:hAnsi="仿宋" w:eastAsia="仿宋" w:cs="仿宋"/>
                <w:sz w:val="18"/>
                <w:szCs w:val="18"/>
                <w:lang w:val="en-US" w:eastAsia="zh-CN"/>
              </w:rPr>
            </w:pPr>
            <w:r>
              <w:rPr>
                <w:rFonts w:hint="eastAsia" w:ascii="仿宋" w:hAnsi="仿宋" w:eastAsia="仿宋" w:cs="仿宋"/>
                <w:sz w:val="18"/>
                <w:szCs w:val="18"/>
              </w:rPr>
              <w:t>报价</w:t>
            </w:r>
            <w:r>
              <w:rPr>
                <w:rFonts w:hint="eastAsia" w:ascii="仿宋" w:hAnsi="仿宋" w:eastAsia="仿宋" w:cs="仿宋"/>
                <w:sz w:val="18"/>
                <w:szCs w:val="18"/>
                <w:lang w:val="en-US" w:eastAsia="zh-CN"/>
              </w:rPr>
              <w:t>4</w:t>
            </w:r>
            <w:r>
              <w:rPr>
                <w:rFonts w:hint="eastAsia" w:ascii="仿宋" w:hAnsi="仿宋" w:eastAsia="仿宋" w:cs="仿宋"/>
                <w:sz w:val="18"/>
                <w:szCs w:val="18"/>
              </w:rPr>
              <w:t>0%</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0分</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lang w:eastAsia="zh-CN"/>
              </w:rPr>
            </w:pPr>
            <w:r>
              <w:rPr>
                <w:rFonts w:hint="eastAsia" w:ascii="仿宋" w:hAnsi="仿宋" w:eastAsia="仿宋" w:cs="仿宋"/>
                <w:sz w:val="18"/>
                <w:szCs w:val="18"/>
              </w:rPr>
              <w:t>技术指标和配置</w:t>
            </w:r>
            <w:r>
              <w:rPr>
                <w:rFonts w:hint="eastAsia" w:ascii="仿宋" w:hAnsi="仿宋" w:eastAsia="仿宋" w:cs="仿宋"/>
                <w:sz w:val="18"/>
                <w:szCs w:val="18"/>
                <w:lang w:val="en-US" w:eastAsia="zh-CN"/>
              </w:rPr>
              <w:t>40</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0分</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服务方案</w:t>
            </w:r>
            <w:r>
              <w:rPr>
                <w:rFonts w:hint="eastAsia" w:ascii="仿宋" w:hAnsi="仿宋" w:eastAsia="仿宋" w:cs="仿宋"/>
                <w:sz w:val="18"/>
                <w:szCs w:val="18"/>
                <w:lang w:val="en-US" w:eastAsia="zh-CN"/>
              </w:rPr>
              <w:t>10</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10</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售后</w:t>
            </w:r>
            <w:r>
              <w:rPr>
                <w:rFonts w:hint="eastAsia" w:ascii="仿宋" w:hAnsi="仿宋" w:eastAsia="仿宋" w:cs="仿宋"/>
                <w:sz w:val="18"/>
                <w:szCs w:val="18"/>
              </w:rPr>
              <w:t>服务保障</w:t>
            </w:r>
            <w:r>
              <w:rPr>
                <w:rFonts w:hint="eastAsia" w:ascii="仿宋" w:hAnsi="仿宋" w:eastAsia="仿宋" w:cs="仿宋"/>
                <w:sz w:val="18"/>
                <w:szCs w:val="18"/>
                <w:lang w:val="en-US" w:eastAsia="zh-CN"/>
              </w:rPr>
              <w:t>5</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履约能力</w:t>
            </w:r>
            <w:r>
              <w:rPr>
                <w:rFonts w:hint="eastAsia" w:ascii="仿宋" w:hAnsi="仿宋" w:eastAsia="仿宋" w:cs="仿宋"/>
                <w:sz w:val="18"/>
                <w:szCs w:val="18"/>
                <w:lang w:val="en-US" w:eastAsia="zh-CN"/>
              </w:rPr>
              <w:t>5</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restart"/>
            <w:tcBorders>
              <w:left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2</w:t>
            </w: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1</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报价</w:t>
            </w:r>
            <w:r>
              <w:rPr>
                <w:rFonts w:hint="eastAsia" w:ascii="仿宋" w:hAnsi="仿宋" w:eastAsia="仿宋" w:cs="仿宋"/>
                <w:sz w:val="18"/>
                <w:szCs w:val="18"/>
                <w:lang w:val="en-US" w:eastAsia="zh-CN"/>
              </w:rPr>
              <w:t>4</w:t>
            </w:r>
            <w:r>
              <w:rPr>
                <w:rFonts w:hint="eastAsia" w:ascii="仿宋" w:hAnsi="仿宋" w:eastAsia="仿宋" w:cs="仿宋"/>
                <w:sz w:val="18"/>
                <w:szCs w:val="18"/>
              </w:rPr>
              <w:t>0%</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0分</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2</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技术指标和配置</w:t>
            </w:r>
            <w:r>
              <w:rPr>
                <w:rFonts w:hint="eastAsia" w:ascii="仿宋" w:hAnsi="仿宋" w:eastAsia="仿宋" w:cs="仿宋"/>
                <w:sz w:val="18"/>
                <w:szCs w:val="18"/>
                <w:lang w:val="en-US" w:eastAsia="zh-CN"/>
              </w:rPr>
              <w:t>40</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0分</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3</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服务方案</w:t>
            </w:r>
            <w:r>
              <w:rPr>
                <w:rFonts w:hint="eastAsia" w:ascii="仿宋" w:hAnsi="仿宋" w:eastAsia="仿宋" w:cs="仿宋"/>
                <w:sz w:val="18"/>
                <w:szCs w:val="18"/>
                <w:lang w:val="en-US" w:eastAsia="zh-CN"/>
              </w:rPr>
              <w:t>10</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10</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4</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售后</w:t>
            </w:r>
            <w:r>
              <w:rPr>
                <w:rFonts w:hint="eastAsia" w:ascii="仿宋" w:hAnsi="仿宋" w:eastAsia="仿宋" w:cs="仿宋"/>
                <w:sz w:val="18"/>
                <w:szCs w:val="18"/>
              </w:rPr>
              <w:t>服务保障</w:t>
            </w:r>
            <w:r>
              <w:rPr>
                <w:rFonts w:hint="eastAsia" w:ascii="仿宋" w:hAnsi="仿宋" w:eastAsia="仿宋" w:cs="仿宋"/>
                <w:sz w:val="18"/>
                <w:szCs w:val="18"/>
                <w:lang w:val="en-US" w:eastAsia="zh-CN"/>
              </w:rPr>
              <w:t>5</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5</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履约能力</w:t>
            </w:r>
            <w:r>
              <w:rPr>
                <w:rFonts w:hint="eastAsia" w:ascii="仿宋" w:hAnsi="仿宋" w:eastAsia="仿宋" w:cs="仿宋"/>
                <w:sz w:val="18"/>
                <w:szCs w:val="18"/>
                <w:lang w:val="en-US" w:eastAsia="zh-CN"/>
              </w:rPr>
              <w:t>5</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技术评分因素</w:t>
            </w:r>
          </w:p>
        </w:tc>
      </w:tr>
    </w:tbl>
    <w:p>
      <w:pPr>
        <w:spacing w:line="360" w:lineRule="auto"/>
        <w:ind w:firstLine="422" w:firstLineChars="200"/>
        <w:rPr>
          <w:rFonts w:hint="eastAsia" w:ascii="仿宋" w:hAnsi="仿宋" w:eastAsia="仿宋" w:cs="仿宋"/>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YjZmYmIwZjNlZGNiMDM1YjJiMzQ0YTZiNTM1NTEifQ=="/>
    <w:docVar w:name="KSO_WPS_MARK_KEY" w:val="bb25c515-73d4-4925-a44d-b44e2a96dafb"/>
  </w:docVars>
  <w:rsids>
    <w:rsidRoot w:val="00895A15"/>
    <w:rsid w:val="00220833"/>
    <w:rsid w:val="003E4A0C"/>
    <w:rsid w:val="00447D67"/>
    <w:rsid w:val="004C3BCB"/>
    <w:rsid w:val="004E00CB"/>
    <w:rsid w:val="004E65CD"/>
    <w:rsid w:val="00555235"/>
    <w:rsid w:val="006E62A9"/>
    <w:rsid w:val="007778CB"/>
    <w:rsid w:val="00895A15"/>
    <w:rsid w:val="0096136F"/>
    <w:rsid w:val="00A452BD"/>
    <w:rsid w:val="00E450DB"/>
    <w:rsid w:val="00FB4AF0"/>
    <w:rsid w:val="00FC3B8B"/>
    <w:rsid w:val="00FF5838"/>
    <w:rsid w:val="00FF594A"/>
    <w:rsid w:val="019127B6"/>
    <w:rsid w:val="03722B8F"/>
    <w:rsid w:val="03BC0D3F"/>
    <w:rsid w:val="09D6775D"/>
    <w:rsid w:val="13E1587A"/>
    <w:rsid w:val="1E9F6C6F"/>
    <w:rsid w:val="2424020B"/>
    <w:rsid w:val="2CF03F85"/>
    <w:rsid w:val="2D2C42AF"/>
    <w:rsid w:val="31030DBF"/>
    <w:rsid w:val="316802C2"/>
    <w:rsid w:val="386E1A9D"/>
    <w:rsid w:val="44FA6A22"/>
    <w:rsid w:val="453641BF"/>
    <w:rsid w:val="48C57A10"/>
    <w:rsid w:val="49892535"/>
    <w:rsid w:val="4C056A16"/>
    <w:rsid w:val="4C936320"/>
    <w:rsid w:val="506D346E"/>
    <w:rsid w:val="51391BC6"/>
    <w:rsid w:val="56C53E05"/>
    <w:rsid w:val="58E10CF4"/>
    <w:rsid w:val="5A7140A7"/>
    <w:rsid w:val="5D641F1C"/>
    <w:rsid w:val="5F586E3A"/>
    <w:rsid w:val="64E45081"/>
    <w:rsid w:val="651838A9"/>
    <w:rsid w:val="67DE35FD"/>
    <w:rsid w:val="6B9240B0"/>
    <w:rsid w:val="6DF03896"/>
    <w:rsid w:val="70DE5573"/>
    <w:rsid w:val="71135756"/>
    <w:rsid w:val="721444B9"/>
    <w:rsid w:val="759D2386"/>
    <w:rsid w:val="77C863C8"/>
    <w:rsid w:val="7DA6649A"/>
    <w:rsid w:val="7EAA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4"/>
    <w:autoRedefine/>
    <w:qFormat/>
    <w:uiPriority w:val="0"/>
    <w:pPr>
      <w:spacing w:after="120"/>
    </w:pPr>
  </w:style>
  <w:style w:type="paragraph" w:styleId="3">
    <w:name w:val="Plain Text"/>
    <w:basedOn w:val="1"/>
    <w:next w:val="4"/>
    <w:link w:val="15"/>
    <w:autoRedefine/>
    <w:qFormat/>
    <w:uiPriority w:val="0"/>
    <w:rPr>
      <w:rFonts w:ascii="宋体" w:hAnsi="Courier New"/>
      <w:kern w:val="0"/>
      <w:sz w:val="20"/>
      <w:szCs w:val="21"/>
    </w:rPr>
  </w:style>
  <w:style w:type="paragraph" w:styleId="4">
    <w:name w:val="Normal Indent"/>
    <w:basedOn w:val="1"/>
    <w:autoRedefine/>
    <w:unhideWhenUsed/>
    <w:qFormat/>
    <w:uiPriority w:val="99"/>
    <w:pPr>
      <w:ind w:firstLine="420" w:firstLineChars="200"/>
      <w:jc w:val="left"/>
    </w:pPr>
  </w:style>
  <w:style w:type="paragraph" w:styleId="5">
    <w:name w:val="Body Text Indent"/>
    <w:basedOn w:val="1"/>
    <w:autoRedefine/>
    <w:qFormat/>
    <w:uiPriority w:val="0"/>
    <w:pPr>
      <w:ind w:firstLine="795"/>
    </w:pPr>
    <w:rPr>
      <w:rFonts w:ascii="Times New Roman"/>
      <w:kern w:val="2"/>
      <w:sz w:val="32"/>
    </w:rPr>
  </w:style>
  <w:style w:type="paragraph" w:styleId="6">
    <w:name w:val="Balloon Text"/>
    <w:basedOn w:val="1"/>
    <w:link w:val="20"/>
    <w:autoRedefine/>
    <w:semiHidden/>
    <w:unhideWhenUsed/>
    <w:qFormat/>
    <w:uiPriority w:val="99"/>
    <w:rPr>
      <w:sz w:val="18"/>
      <w:szCs w:val="18"/>
    </w:r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autoRedefine/>
    <w:semiHidden/>
    <w:unhideWhenUsed/>
    <w:qFormat/>
    <w:uiPriority w:val="99"/>
    <w:rPr>
      <w:color w:val="0000FF"/>
      <w:u w:val="single"/>
    </w:rPr>
  </w:style>
  <w:style w:type="character" w:customStyle="1" w:styleId="13">
    <w:name w:val="font11"/>
    <w:basedOn w:val="11"/>
    <w:autoRedefine/>
    <w:qFormat/>
    <w:uiPriority w:val="0"/>
    <w:rPr>
      <w:rFonts w:hint="eastAsia" w:ascii="宋体" w:hAnsi="宋体" w:eastAsia="宋体" w:cs="宋体"/>
      <w:b/>
      <w:bCs/>
      <w:color w:val="000000"/>
      <w:sz w:val="20"/>
      <w:szCs w:val="20"/>
      <w:u w:val="none"/>
    </w:rPr>
  </w:style>
  <w:style w:type="character" w:customStyle="1" w:styleId="14">
    <w:name w:val="正文文本 Char"/>
    <w:basedOn w:val="11"/>
    <w:link w:val="2"/>
    <w:autoRedefine/>
    <w:qFormat/>
    <w:uiPriority w:val="0"/>
  </w:style>
  <w:style w:type="character" w:customStyle="1" w:styleId="15">
    <w:name w:val="纯文本 Char"/>
    <w:basedOn w:val="11"/>
    <w:link w:val="3"/>
    <w:autoRedefine/>
    <w:qFormat/>
    <w:uiPriority w:val="0"/>
    <w:rPr>
      <w:rFonts w:ascii="宋体" w:hAnsi="Courier New"/>
      <w:kern w:val="0"/>
      <w:sz w:val="20"/>
      <w:szCs w:val="21"/>
    </w:rPr>
  </w:style>
  <w:style w:type="paragraph" w:customStyle="1" w:styleId="16">
    <w:name w:val="Default"/>
    <w:autoRedefine/>
    <w:unhideWhenUsed/>
    <w:qFormat/>
    <w:uiPriority w:val="99"/>
    <w:pPr>
      <w:widowControl w:val="0"/>
      <w:autoSpaceDE w:val="0"/>
      <w:autoSpaceDN w:val="0"/>
      <w:adjustRightInd w:val="0"/>
    </w:pPr>
    <w:rPr>
      <w:rFonts w:hint="eastAsia" w:ascii="宋体" w:hAnsi="宋体" w:eastAsia="宋体" w:cs="Times New Roman"/>
      <w:color w:val="000000"/>
      <w:kern w:val="0"/>
      <w:sz w:val="24"/>
      <w:szCs w:val="22"/>
      <w:lang w:val="en-US" w:eastAsia="zh-CN" w:bidi="ar-SA"/>
    </w:rPr>
  </w:style>
  <w:style w:type="character" w:customStyle="1" w:styleId="17">
    <w:name w:val="font31"/>
    <w:basedOn w:val="11"/>
    <w:autoRedefine/>
    <w:qFormat/>
    <w:uiPriority w:val="0"/>
    <w:rPr>
      <w:rFonts w:hint="eastAsia" w:ascii="宋体" w:hAnsi="宋体" w:eastAsia="宋体" w:cs="宋体"/>
      <w:b/>
      <w:bCs/>
      <w:color w:val="000000"/>
      <w:sz w:val="20"/>
      <w:szCs w:val="20"/>
      <w:u w:val="none"/>
    </w:rPr>
  </w:style>
  <w:style w:type="character" w:customStyle="1" w:styleId="18">
    <w:name w:val="页眉 Char"/>
    <w:basedOn w:val="11"/>
    <w:link w:val="8"/>
    <w:autoRedefine/>
    <w:qFormat/>
    <w:uiPriority w:val="99"/>
    <w:rPr>
      <w:sz w:val="18"/>
      <w:szCs w:val="18"/>
    </w:rPr>
  </w:style>
  <w:style w:type="character" w:customStyle="1" w:styleId="19">
    <w:name w:val="页脚 Char"/>
    <w:basedOn w:val="11"/>
    <w:link w:val="7"/>
    <w:autoRedefine/>
    <w:qFormat/>
    <w:uiPriority w:val="99"/>
    <w:rPr>
      <w:sz w:val="18"/>
      <w:szCs w:val="18"/>
    </w:rPr>
  </w:style>
  <w:style w:type="character" w:customStyle="1" w:styleId="20">
    <w:name w:val="批注框文本 Char"/>
    <w:basedOn w:val="11"/>
    <w:link w:val="6"/>
    <w:autoRedefine/>
    <w:semiHidden/>
    <w:qFormat/>
    <w:uiPriority w:val="99"/>
    <w:rPr>
      <w:sz w:val="18"/>
      <w:szCs w:val="18"/>
    </w:rPr>
  </w:style>
  <w:style w:type="character" w:customStyle="1" w:styleId="21">
    <w:name w:val="font21"/>
    <w:basedOn w:val="11"/>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6978</Words>
  <Characters>8729</Characters>
  <Lines>139</Lines>
  <Paragraphs>39</Paragraphs>
  <TotalTime>1054</TotalTime>
  <ScaleCrop>false</ScaleCrop>
  <LinksUpToDate>false</LinksUpToDate>
  <CharactersWithSpaces>9006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2024-03-15T03:08:00Z</dcterms:created>
  <dc:creator>刘雪梅</dc:creator>
  <cp:lastModifiedBy>Diana</cp:lastModifiedBy>
  <dcterms:modified xsi:type="dcterms:W3CDTF">2024-05-21T02:19:31Z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42DC672BA65F448EA093ECC6D07868DB_13</vt:lpwstr>
  </property>
</Properties>
</file>