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60" w:lineRule="auto"/>
      </w:pPr>
      <w:bookmarkStart w:id="0" w:name="_GoBack"/>
      <w:bookmarkEnd w:id="0"/>
    </w:p>
    <w:p>
      <w:pPr>
        <w:widowControl w:val="0"/>
        <w:kinsoku/>
        <w:autoSpaceDE/>
        <w:autoSpaceDN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snapToGrid/>
          <w:kern w:val="2"/>
          <w:sz w:val="40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snapToGrid/>
          <w:kern w:val="2"/>
          <w:sz w:val="40"/>
          <w:szCs w:val="44"/>
          <w:lang w:val="en-US" w:eastAsia="zh-CN"/>
        </w:rPr>
        <w:t>采购西华大学四教柴油发电机组及配套设备采购项目需求文件</w:t>
      </w:r>
    </w:p>
    <w:p>
      <w:pPr>
        <w:widowControl w:val="0"/>
        <w:numPr>
          <w:ilvl w:val="0"/>
          <w:numId w:val="1"/>
        </w:numPr>
        <w:kinsoku/>
        <w:autoSpaceDE/>
        <w:autoSpaceDN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snapToGrid/>
          <w:kern w:val="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napToGrid/>
          <w:kern w:val="2"/>
          <w:sz w:val="24"/>
          <w:szCs w:val="24"/>
          <w:lang w:val="en-US" w:eastAsia="zh-CN"/>
        </w:rPr>
        <w:t>项目概况</w:t>
      </w:r>
    </w:p>
    <w:p>
      <w:pPr>
        <w:pStyle w:val="11"/>
        <w:spacing w:line="420" w:lineRule="exact"/>
        <w:ind w:firstLine="480" w:firstLineChars="200"/>
        <w:rPr>
          <w:rFonts w:hint="default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为保障西华大学网管中心和研究生院保密室用电需求，在市电停电情况下正常供电，确保设施设备正常运行；学校计划99万元专项资金用于采购柴油发电机组和相关配套设施设备。</w:t>
      </w:r>
    </w:p>
    <w:p>
      <w:pPr>
        <w:widowControl w:val="0"/>
        <w:numPr>
          <w:ilvl w:val="0"/>
          <w:numId w:val="1"/>
        </w:numPr>
        <w:kinsoku/>
        <w:autoSpaceDE/>
        <w:autoSpaceDN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snapToGrid/>
          <w:kern w:val="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napToGrid/>
          <w:kern w:val="2"/>
          <w:sz w:val="24"/>
          <w:szCs w:val="24"/>
          <w:lang w:val="en-US" w:eastAsia="zh-CN"/>
        </w:rPr>
        <w:t>投标供应商的资格要求</w:t>
      </w:r>
    </w:p>
    <w:p>
      <w:pPr>
        <w:pStyle w:val="11"/>
        <w:spacing w:line="420" w:lineRule="exact"/>
        <w:ind w:firstLine="480" w:firstLineChars="200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1、具有独立承担民事责任的能力；</w:t>
      </w:r>
    </w:p>
    <w:p>
      <w:pPr>
        <w:tabs>
          <w:tab w:val="left" w:pos="7665"/>
        </w:tabs>
        <w:spacing w:line="400" w:lineRule="exact"/>
        <w:ind w:firstLine="480" w:firstLineChars="200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2、具有良好的商业信誉和健全的财务会计制度；</w:t>
      </w:r>
    </w:p>
    <w:p>
      <w:pPr>
        <w:tabs>
          <w:tab w:val="left" w:pos="7665"/>
        </w:tabs>
        <w:spacing w:line="400" w:lineRule="exact"/>
        <w:ind w:firstLine="480" w:firstLineChars="200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3、具有履行合同所必需的设备和专业技术能力；</w:t>
      </w:r>
    </w:p>
    <w:p>
      <w:pPr>
        <w:tabs>
          <w:tab w:val="left" w:pos="7665"/>
        </w:tabs>
        <w:spacing w:line="400" w:lineRule="exact"/>
        <w:ind w:firstLine="480" w:firstLineChars="200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4、具有依法缴纳税收和社会保障资金的良好记录；</w:t>
      </w:r>
    </w:p>
    <w:p>
      <w:pPr>
        <w:tabs>
          <w:tab w:val="left" w:pos="7665"/>
        </w:tabs>
        <w:spacing w:line="400" w:lineRule="exact"/>
        <w:ind w:firstLine="480" w:firstLineChars="200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5、参加本次采购活动前三年内，在经营活动中没有重大违法记录。</w:t>
      </w:r>
    </w:p>
    <w:p>
      <w:pPr>
        <w:tabs>
          <w:tab w:val="left" w:pos="7665"/>
        </w:tabs>
        <w:spacing w:line="400" w:lineRule="exact"/>
        <w:ind w:firstLine="480" w:firstLineChars="200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6、符合法律、行政法规规定的其他条件。</w:t>
      </w:r>
    </w:p>
    <w:p>
      <w:pPr>
        <w:tabs>
          <w:tab w:val="left" w:pos="7665"/>
        </w:tabs>
        <w:spacing w:line="400" w:lineRule="exact"/>
        <w:ind w:firstLine="480" w:firstLineChars="200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7、本项目不接受联合体投标。</w:t>
      </w:r>
    </w:p>
    <w:p>
      <w:pPr>
        <w:tabs>
          <w:tab w:val="left" w:pos="7665"/>
        </w:tabs>
        <w:spacing w:line="400" w:lineRule="exact"/>
        <w:ind w:firstLine="480" w:firstLineChars="200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8、投标人单位及其现任法定代表人/主要负责人不得具有行贿犯罪记录。</w:t>
      </w:r>
    </w:p>
    <w:p>
      <w:pPr>
        <w:tabs>
          <w:tab w:val="left" w:pos="7665"/>
        </w:tabs>
        <w:spacing w:line="400" w:lineRule="exact"/>
        <w:ind w:firstLine="480" w:firstLineChars="200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9、根据采购项目提出的特殊条件：承装（修、试）4级及以上，或者机电安装3级，或者电力工程施工3级。</w:t>
      </w:r>
    </w:p>
    <w:p>
      <w:pPr>
        <w:tabs>
          <w:tab w:val="left" w:pos="7665"/>
        </w:tabs>
        <w:spacing w:line="400" w:lineRule="exact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注：由采购人或采购代理机构在资格审查时在《信用中国》网站（www.creditchina.gov.cn）、《中国政府采购网》网站（www.ccgp.gov.cn）等渠道对供应商进行信用记录查询，并将查询记录存档。凡被列入失信被执行人、重大税收违法案件当事人名单、政府采购严重违法失信行为记录名单的，视为存在不良信用记录，其投标无效。</w:t>
      </w:r>
    </w:p>
    <w:p>
      <w:pPr>
        <w:tabs>
          <w:tab w:val="left" w:pos="7665"/>
        </w:tabs>
        <w:spacing w:line="400" w:lineRule="exact"/>
        <w:ind w:firstLine="480" w:firstLineChars="200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10、其他资格要求：无。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jc w:val="left"/>
        <w:textAlignment w:val="baseline"/>
        <w:rPr>
          <w:rFonts w:hint="eastAsia" w:ascii="仿宋" w:hAnsi="仿宋" w:eastAsia="仿宋" w:cs="仿宋"/>
          <w:b/>
          <w:bCs/>
          <w:snapToGrid/>
          <w:kern w:val="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24"/>
          <w:szCs w:val="24"/>
          <w:lang w:val="en-US" w:eastAsia="zh-CN"/>
        </w:rPr>
        <w:t>三、设计思路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  <w:lang w:val="en-US" w:eastAsia="zh-CN" w:bidi="ar"/>
        </w:rPr>
        <w:t>新建一台1000KW 静音型室外发电机，同时对电缆进行敷设，专供网管中心使用，建设主要内容包括：发电机一台、室外发电机基础混凝土建设、电缆沟道建设，敷设发电机到网管中心电缆和研究生院保密室、在网管中心新建两面双电源转换柜，一面给已建机房使用，另一面预留给新建机房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jc w:val="left"/>
        <w:textAlignment w:val="baseline"/>
        <w:rPr>
          <w:rFonts w:hint="eastAsia" w:ascii="仿宋" w:hAnsi="仿宋" w:eastAsia="仿宋" w:cs="仿宋"/>
          <w:b/>
          <w:bCs/>
          <w:snapToGrid/>
          <w:kern w:val="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24"/>
          <w:szCs w:val="24"/>
          <w:lang w:val="en-US" w:eastAsia="zh-CN"/>
        </w:rPr>
        <w:t>四、主要技术参数与标准</w:t>
      </w:r>
    </w:p>
    <w:tbl>
      <w:tblPr>
        <w:tblStyle w:val="8"/>
        <w:tblW w:w="4857" w:type="pct"/>
        <w:tblInd w:w="11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386"/>
        <w:gridCol w:w="936"/>
        <w:gridCol w:w="5173"/>
        <w:gridCol w:w="697"/>
        <w:gridCol w:w="5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50" w:type="pct"/>
            <w:textDirection w:val="tbRlV"/>
            <w:vAlign w:val="top"/>
          </w:tcPr>
          <w:p>
            <w:pPr>
              <w:spacing w:before="18" w:line="211" w:lineRule="auto"/>
              <w:ind w:left="5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序</w:t>
            </w:r>
            <w:r>
              <w:rPr>
                <w:rFonts w:hint="eastAsia" w:ascii="仿宋" w:hAnsi="仿宋" w:eastAsia="仿宋" w:cs="仿宋"/>
                <w:spacing w:val="-19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号</w:t>
            </w:r>
          </w:p>
        </w:tc>
        <w:tc>
          <w:tcPr>
            <w:tcW w:w="238" w:type="pct"/>
            <w:textDirection w:val="tbRlV"/>
            <w:vAlign w:val="top"/>
          </w:tcPr>
          <w:p>
            <w:pPr>
              <w:spacing w:before="17" w:line="208" w:lineRule="auto"/>
              <w:ind w:left="5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类</w:t>
            </w:r>
            <w:r>
              <w:rPr>
                <w:rFonts w:hint="eastAsia" w:ascii="仿宋" w:hAnsi="仿宋" w:eastAsia="仿宋" w:cs="仿宋"/>
                <w:spacing w:val="-19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别</w:t>
            </w:r>
          </w:p>
        </w:tc>
        <w:tc>
          <w:tcPr>
            <w:tcW w:w="577" w:type="pct"/>
            <w:vAlign w:val="top"/>
          </w:tcPr>
          <w:p>
            <w:pPr>
              <w:spacing w:before="205" w:line="222" w:lineRule="auto"/>
              <w:ind w:left="139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设备名称</w:t>
            </w:r>
          </w:p>
        </w:tc>
        <w:tc>
          <w:tcPr>
            <w:tcW w:w="3189" w:type="pct"/>
            <w:vAlign w:val="top"/>
          </w:tcPr>
          <w:p>
            <w:pPr>
              <w:spacing w:before="206" w:line="222" w:lineRule="auto"/>
              <w:ind w:left="114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技术参数</w:t>
            </w:r>
          </w:p>
        </w:tc>
        <w:tc>
          <w:tcPr>
            <w:tcW w:w="430" w:type="pct"/>
            <w:vAlign w:val="center"/>
          </w:tcPr>
          <w:p>
            <w:pPr>
              <w:spacing w:before="187" w:line="209" w:lineRule="auto"/>
              <w:ind w:left="5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单位</w:t>
            </w:r>
          </w:p>
        </w:tc>
        <w:tc>
          <w:tcPr>
            <w:tcW w:w="312" w:type="pct"/>
            <w:vAlign w:val="center"/>
          </w:tcPr>
          <w:p>
            <w:pPr>
              <w:spacing w:before="77" w:line="208" w:lineRule="auto"/>
              <w:ind w:left="5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3" w:hRule="atLeast"/>
        </w:trPr>
        <w:tc>
          <w:tcPr>
            <w:tcW w:w="250" w:type="pct"/>
            <w:vAlign w:val="top"/>
          </w:tcPr>
          <w:p>
            <w:pPr>
              <w:pStyle w:val="9"/>
              <w:spacing w:line="248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8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8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8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8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8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8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8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9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9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9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9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9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9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9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9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9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9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9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9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before="72" w:line="182" w:lineRule="auto"/>
              <w:ind w:left="14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38" w:type="pct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" w:line="208" w:lineRule="auto"/>
              <w:ind w:left="5515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发</w:t>
            </w:r>
            <w:r>
              <w:rPr>
                <w:rFonts w:hint="eastAsia" w:ascii="仿宋" w:hAnsi="仿宋" w:eastAsia="仿宋" w:cs="仿宋"/>
                <w:spacing w:val="-16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电</w:t>
            </w:r>
            <w:r>
              <w:rPr>
                <w:rFonts w:hint="eastAsia" w:ascii="仿宋" w:hAnsi="仿宋" w:eastAsia="仿宋" w:cs="仿宋"/>
                <w:spacing w:val="-19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机</w:t>
            </w:r>
            <w:r>
              <w:rPr>
                <w:rFonts w:hint="eastAsia" w:ascii="仿宋" w:hAnsi="仿宋" w:eastAsia="仿宋" w:cs="仿宋"/>
                <w:spacing w:val="-18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建</w:t>
            </w:r>
            <w:r>
              <w:rPr>
                <w:rFonts w:hint="eastAsia" w:ascii="仿宋" w:hAnsi="仿宋" w:eastAsia="仿宋" w:cs="仿宋"/>
                <w:spacing w:val="-19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设</w:t>
            </w:r>
          </w:p>
        </w:tc>
        <w:tc>
          <w:tcPr>
            <w:tcW w:w="577" w:type="pct"/>
            <w:vAlign w:val="top"/>
          </w:tcPr>
          <w:p>
            <w:pPr>
              <w:pStyle w:val="9"/>
              <w:spacing w:line="246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6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6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6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before="72" w:line="219" w:lineRule="auto"/>
              <w:ind w:left="249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</w:rPr>
              <w:t>发电机</w:t>
            </w:r>
          </w:p>
        </w:tc>
        <w:tc>
          <w:tcPr>
            <w:tcW w:w="3189" w:type="pct"/>
            <w:vAlign w:val="top"/>
          </w:tcPr>
          <w:p>
            <w:pPr>
              <w:spacing w:before="44" w:line="248" w:lineRule="auto"/>
              <w:ind w:left="112" w:right="149" w:firstLine="3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 xml:space="preserve">发电机组为柴油机、发电机、冷却风  </w:t>
            </w: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</w:rPr>
              <w:t>扇、闭式循环散热水箱、启动、充电、安装在同一机架上的成套设备。</w:t>
            </w:r>
          </w:p>
          <w:p>
            <w:pPr>
              <w:spacing w:before="51" w:line="241" w:lineRule="auto"/>
              <w:ind w:left="130" w:right="116" w:hanging="18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柴油发电机组必须配置满足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不低于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8</w:t>
            </w:r>
            <w:r>
              <w:rPr>
                <w:rFonts w:hint="eastAsia" w:ascii="仿宋" w:hAnsi="仿宋" w:eastAsia="仿宋" w:cs="仿宋"/>
                <w:spacing w:val="-4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小时使用</w:t>
            </w:r>
            <w:r>
              <w:rPr>
                <w:rFonts w:hint="eastAsia" w:ascii="仿宋" w:hAnsi="仿宋" w:eastAsia="仿宋" w:cs="仿宋"/>
                <w:spacing w:val="-7"/>
                <w:sz w:val="22"/>
                <w:szCs w:val="22"/>
              </w:rPr>
              <w:t>的底座式油箱。</w:t>
            </w:r>
          </w:p>
          <w:p>
            <w:pPr>
              <w:spacing w:before="49" w:line="219" w:lineRule="auto"/>
              <w:ind w:left="111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eastAsia="zh-CN"/>
              </w:rPr>
              <w:t>★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</w:rPr>
              <w:t>柴油发电机组形式：户外静音型；</w:t>
            </w:r>
          </w:p>
          <w:p>
            <w:pPr>
              <w:spacing w:before="51" w:line="219" w:lineRule="auto"/>
              <w:ind w:left="111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8"/>
                <w:sz w:val="22"/>
                <w:szCs w:val="22"/>
                <w:lang w:eastAsia="zh-CN"/>
              </w:rPr>
              <w:t>★</w:t>
            </w:r>
            <w:r>
              <w:rPr>
                <w:rFonts w:hint="eastAsia" w:ascii="仿宋" w:hAnsi="仿宋" w:eastAsia="仿宋" w:cs="仿宋"/>
                <w:spacing w:val="-8"/>
                <w:sz w:val="22"/>
                <w:szCs w:val="22"/>
              </w:rPr>
              <w:t xml:space="preserve">机组额定功率： </w:t>
            </w:r>
            <w:r>
              <w:rPr>
                <w:rFonts w:hint="eastAsia" w:ascii="仿宋" w:hAnsi="仿宋" w:eastAsia="仿宋" w:cs="仿宋"/>
                <w:spacing w:val="-8"/>
                <w:sz w:val="22"/>
                <w:szCs w:val="22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spacing w:val="-8"/>
                <w:sz w:val="22"/>
                <w:szCs w:val="22"/>
              </w:rPr>
              <w:t>1000KW；</w:t>
            </w:r>
          </w:p>
          <w:p>
            <w:pPr>
              <w:spacing w:before="50" w:line="220" w:lineRule="auto"/>
              <w:ind w:left="11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</w:rPr>
              <w:t>额定电压：230/400V（三相四线</w:t>
            </w:r>
            <w:r>
              <w:rPr>
                <w:rFonts w:hint="eastAsia" w:ascii="仿宋" w:hAnsi="仿宋" w:eastAsia="仿宋" w:cs="仿宋"/>
                <w:spacing w:val="-12"/>
                <w:sz w:val="22"/>
                <w:szCs w:val="22"/>
              </w:rPr>
              <w:t>）；</w:t>
            </w:r>
          </w:p>
          <w:p>
            <w:pPr>
              <w:spacing w:before="49" w:line="313" w:lineRule="exact"/>
              <w:ind w:left="11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3"/>
                <w:position w:val="6"/>
                <w:sz w:val="22"/>
                <w:szCs w:val="22"/>
              </w:rPr>
              <w:t>额定频率：50Hz；额定转速：</w:t>
            </w: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</w:rPr>
              <w:t>1500rpm；</w:t>
            </w:r>
          </w:p>
          <w:p>
            <w:pPr>
              <w:spacing w:before="56" w:line="220" w:lineRule="auto"/>
              <w:ind w:left="116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0"/>
                <w:sz w:val="22"/>
                <w:szCs w:val="22"/>
              </w:rPr>
              <w:t>功率因数：</w:t>
            </w:r>
            <w:r>
              <w:rPr>
                <w:rFonts w:hint="eastAsia" w:ascii="仿宋" w:hAnsi="仿宋" w:eastAsia="仿宋" w:cs="仿宋"/>
                <w:spacing w:val="-10"/>
                <w:sz w:val="22"/>
                <w:szCs w:val="22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spacing w:val="-10"/>
                <w:sz w:val="22"/>
                <w:szCs w:val="22"/>
              </w:rPr>
              <w:t>0.8</w:t>
            </w:r>
            <w:r>
              <w:rPr>
                <w:rFonts w:hint="eastAsia" w:ascii="仿宋" w:hAnsi="仿宋" w:eastAsia="仿宋" w:cs="仿宋"/>
                <w:spacing w:val="-12"/>
                <w:sz w:val="22"/>
                <w:szCs w:val="22"/>
              </w:rPr>
              <w:t>；</w:t>
            </w:r>
          </w:p>
          <w:p>
            <w:pPr>
              <w:spacing w:before="49" w:line="241" w:lineRule="auto"/>
              <w:ind w:left="111" w:right="225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7"/>
                <w:sz w:val="22"/>
                <w:szCs w:val="22"/>
                <w:lang w:eastAsia="zh-CN"/>
              </w:rPr>
              <w:t>★</w:t>
            </w:r>
            <w:r>
              <w:rPr>
                <w:rFonts w:hint="eastAsia" w:ascii="仿宋" w:hAnsi="仿宋" w:eastAsia="仿宋" w:cs="仿宋"/>
                <w:spacing w:val="-7"/>
                <w:sz w:val="22"/>
                <w:szCs w:val="22"/>
              </w:rPr>
              <w:t>发动机：厂家需提供针对本项目售后</w:t>
            </w: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</w:rPr>
              <w:t>服务承诺书；</w:t>
            </w:r>
          </w:p>
          <w:p>
            <w:pPr>
              <w:spacing w:before="50" w:line="220" w:lineRule="auto"/>
              <w:ind w:left="115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5"/>
                <w:sz w:val="22"/>
                <w:szCs w:val="22"/>
              </w:rPr>
              <w:t>形式：直喷、水空中冷、四冲程；</w:t>
            </w:r>
          </w:p>
          <w:p>
            <w:pPr>
              <w:spacing w:before="50" w:line="222" w:lineRule="auto"/>
              <w:ind w:left="111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0"/>
                <w:sz w:val="22"/>
                <w:szCs w:val="22"/>
                <w:lang w:eastAsia="zh-CN"/>
              </w:rPr>
              <w:t>★</w:t>
            </w:r>
            <w:r>
              <w:rPr>
                <w:rFonts w:hint="eastAsia" w:ascii="仿宋" w:hAnsi="仿宋" w:eastAsia="仿宋" w:cs="仿宋"/>
                <w:spacing w:val="-10"/>
                <w:sz w:val="22"/>
                <w:szCs w:val="22"/>
              </w:rPr>
              <w:t xml:space="preserve">排量： 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spacing w:val="-10"/>
                <w:sz w:val="22"/>
                <w:szCs w:val="22"/>
              </w:rPr>
              <w:t>49.0</w:t>
            </w:r>
            <w:r>
              <w:rPr>
                <w:rFonts w:hint="eastAsia" w:ascii="仿宋" w:hAnsi="仿宋" w:eastAsia="仿宋" w:cs="仿宋"/>
                <w:spacing w:val="-1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pacing w:val="-10"/>
                <w:sz w:val="22"/>
                <w:szCs w:val="22"/>
              </w:rPr>
              <w:t>L；</w:t>
            </w:r>
          </w:p>
          <w:p>
            <w:pPr>
              <w:spacing w:before="48" w:line="219" w:lineRule="auto"/>
              <w:ind w:left="111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eastAsia="zh-CN"/>
              </w:rPr>
              <w:t>★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</w:rPr>
              <w:t>压缩比: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</w:rPr>
              <w:t>14:1；</w:t>
            </w:r>
          </w:p>
          <w:p>
            <w:pPr>
              <w:spacing w:before="50" w:line="312" w:lineRule="exact"/>
              <w:ind w:left="11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4"/>
                <w:position w:val="6"/>
                <w:sz w:val="22"/>
                <w:szCs w:val="22"/>
              </w:rPr>
              <w:t>进气方式:增压/中冷；</w:t>
            </w:r>
          </w:p>
          <w:p>
            <w:pPr>
              <w:spacing w:before="56" w:line="221" w:lineRule="auto"/>
              <w:ind w:left="113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</w:rPr>
              <w:t>起动方式:电起动；</w:t>
            </w:r>
          </w:p>
          <w:p>
            <w:pPr>
              <w:spacing w:before="49" w:line="220" w:lineRule="auto"/>
              <w:ind w:left="111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eastAsia="zh-CN"/>
              </w:rPr>
              <w:t>★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</w:rPr>
              <w:t xml:space="preserve"> 缸径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</w:rPr>
              <w:t>行程:170mm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</w:rPr>
              <w:t>180mm；</w:t>
            </w:r>
          </w:p>
          <w:p>
            <w:pPr>
              <w:spacing w:before="50" w:line="219" w:lineRule="auto"/>
              <w:ind w:left="111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eastAsia="zh-CN"/>
              </w:rPr>
              <w:t>★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</w:rPr>
              <w:t xml:space="preserve"> 柴油机常用功率：≥1080KW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</w:rPr>
              <w:t>柴油机</w:t>
            </w:r>
          </w:p>
          <w:p>
            <w:pPr>
              <w:spacing w:before="51" w:line="220" w:lineRule="auto"/>
              <w:ind w:left="115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</w:rPr>
              <w:t>备用功率：≥1190KW；</w:t>
            </w:r>
          </w:p>
          <w:p>
            <w:pPr>
              <w:spacing w:before="49" w:line="241" w:lineRule="auto"/>
              <w:ind w:left="111" w:right="225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7"/>
                <w:sz w:val="22"/>
                <w:szCs w:val="22"/>
                <w:lang w:eastAsia="zh-CN"/>
              </w:rPr>
              <w:t>★</w:t>
            </w:r>
            <w:r>
              <w:rPr>
                <w:rFonts w:hint="eastAsia" w:ascii="仿宋" w:hAnsi="仿宋" w:eastAsia="仿宋" w:cs="仿宋"/>
                <w:spacing w:val="-7"/>
                <w:sz w:val="22"/>
                <w:szCs w:val="22"/>
              </w:rPr>
              <w:t>发电机：厂家需提供针对本项目售后</w:t>
            </w: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</w:rPr>
              <w:t>服务承诺书；</w:t>
            </w:r>
          </w:p>
          <w:p>
            <w:pPr>
              <w:spacing w:before="51" w:line="220" w:lineRule="auto"/>
              <w:ind w:left="111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eastAsia="zh-CN"/>
              </w:rPr>
              <w:t>★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</w:rPr>
              <w:t>额定功率：1000KW；</w:t>
            </w:r>
          </w:p>
          <w:p>
            <w:pPr>
              <w:spacing w:before="50" w:line="241" w:lineRule="auto"/>
              <w:ind w:left="117" w:right="497" w:hanging="1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4"/>
                <w:sz w:val="22"/>
                <w:szCs w:val="22"/>
              </w:rPr>
              <w:t>设计形式：无刷全铜交流发电机；</w:t>
            </w:r>
            <w:r>
              <w:rPr>
                <w:rFonts w:hint="eastAsia" w:ascii="仿宋" w:hAnsi="仿宋" w:eastAsia="仿宋" w:cs="仿宋"/>
                <w:spacing w:val="-13"/>
                <w:sz w:val="22"/>
                <w:szCs w:val="22"/>
              </w:rPr>
              <w:t>定子：2/3节距；</w:t>
            </w:r>
          </w:p>
          <w:p>
            <w:pPr>
              <w:spacing w:before="49" w:line="312" w:lineRule="exact"/>
              <w:ind w:left="113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1"/>
                <w:position w:val="6"/>
                <w:sz w:val="22"/>
                <w:szCs w:val="22"/>
              </w:rPr>
              <w:t>转子：单轴承，柔性盘连接；</w:t>
            </w:r>
          </w:p>
          <w:p>
            <w:pPr>
              <w:spacing w:line="220" w:lineRule="auto"/>
              <w:ind w:left="114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</w:rPr>
              <w:t>绝缘等级：H</w:t>
            </w:r>
            <w:r>
              <w:rPr>
                <w:rFonts w:hint="eastAsia" w:ascii="仿宋" w:hAnsi="仿宋" w:eastAsia="仿宋" w:cs="仿宋"/>
                <w:spacing w:val="-36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</w:rPr>
              <w:t>级；</w:t>
            </w:r>
          </w:p>
          <w:p>
            <w:pPr>
              <w:spacing w:before="49"/>
              <w:ind w:left="112" w:right="497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</w:rPr>
              <w:t>标准温升：备载,150</w:t>
            </w:r>
            <w:r>
              <w:rPr>
                <w:rFonts w:hint="eastAsia" w:ascii="仿宋" w:hAnsi="仿宋" w:eastAsia="仿宋" w:cs="仿宋"/>
                <w:spacing w:val="-7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</w:rPr>
              <w:t>°C -163</w:t>
            </w:r>
            <w:r>
              <w:rPr>
                <w:rFonts w:hint="eastAsia" w:ascii="仿宋" w:hAnsi="仿宋" w:eastAsia="仿宋" w:cs="仿宋"/>
                <w:spacing w:val="-81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</w:rPr>
              <w:t>°C；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4"/>
                <w:sz w:val="22"/>
                <w:szCs w:val="22"/>
              </w:rPr>
              <w:t>相序： A</w:t>
            </w:r>
            <w:r>
              <w:rPr>
                <w:rFonts w:hint="eastAsia" w:ascii="仿宋" w:hAnsi="仿宋" w:eastAsia="仿宋" w:cs="仿宋"/>
                <w:spacing w:val="49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4"/>
                <w:sz w:val="22"/>
                <w:szCs w:val="22"/>
              </w:rPr>
              <w:t>(U),</w:t>
            </w: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4"/>
                <w:sz w:val="22"/>
                <w:szCs w:val="22"/>
              </w:rPr>
              <w:t>B</w:t>
            </w:r>
            <w:r>
              <w:rPr>
                <w:rFonts w:hint="eastAsia" w:ascii="仿宋" w:hAnsi="仿宋" w:eastAsia="仿宋" w:cs="仿宋"/>
                <w:spacing w:val="46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4"/>
                <w:sz w:val="22"/>
                <w:szCs w:val="22"/>
              </w:rPr>
              <w:t>(V),</w:t>
            </w:r>
            <w:r>
              <w:rPr>
                <w:rFonts w:hint="eastAsia" w:ascii="仿宋" w:hAnsi="仿宋" w:eastAsia="仿宋" w:cs="仿宋"/>
                <w:spacing w:val="7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4"/>
                <w:sz w:val="22"/>
                <w:szCs w:val="22"/>
              </w:rPr>
              <w:t>C</w:t>
            </w:r>
            <w:r>
              <w:rPr>
                <w:rFonts w:hint="eastAsia" w:ascii="仿宋" w:hAnsi="仿宋" w:eastAsia="仿宋" w:cs="仿宋"/>
                <w:spacing w:val="43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4"/>
                <w:sz w:val="22"/>
                <w:szCs w:val="22"/>
              </w:rPr>
              <w:t>(W)</w:t>
            </w:r>
          </w:p>
          <w:p>
            <w:pPr>
              <w:spacing w:before="52" w:line="239" w:lineRule="auto"/>
              <w:ind w:left="114" w:right="117" w:firstLine="1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2"/>
                <w:szCs w:val="22"/>
              </w:rPr>
              <w:t>发电机信号线：满足规范及现场使用要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求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430" w:type="pct"/>
            <w:vAlign w:val="top"/>
          </w:tcPr>
          <w:p>
            <w:pPr>
              <w:pStyle w:val="9"/>
              <w:spacing w:line="246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6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6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6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7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before="72" w:line="222" w:lineRule="auto"/>
              <w:ind w:left="216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台</w:t>
            </w:r>
          </w:p>
        </w:tc>
        <w:tc>
          <w:tcPr>
            <w:tcW w:w="312" w:type="pct"/>
            <w:vAlign w:val="top"/>
          </w:tcPr>
          <w:p>
            <w:pPr>
              <w:pStyle w:val="9"/>
              <w:spacing w:line="248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8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8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8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8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8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8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8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9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9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9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9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9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9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9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9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9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9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9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249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before="72" w:line="182" w:lineRule="auto"/>
              <w:ind w:left="173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250" w:type="pct"/>
            <w:vAlign w:val="top"/>
          </w:tcPr>
          <w:p>
            <w:pPr>
              <w:pStyle w:val="9"/>
              <w:spacing w:line="31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318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before="71" w:line="182" w:lineRule="auto"/>
              <w:ind w:left="128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238" w:type="pct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9"/>
              <w:rPr>
                <w:rFonts w:hint="eastAsia" w:ascii="仿宋" w:hAnsi="仿宋" w:eastAsia="仿宋" w:cs="仿宋"/>
              </w:rPr>
            </w:pPr>
          </w:p>
        </w:tc>
        <w:tc>
          <w:tcPr>
            <w:tcW w:w="577" w:type="pct"/>
            <w:vAlign w:val="top"/>
          </w:tcPr>
          <w:p>
            <w:pPr>
              <w:pStyle w:val="9"/>
              <w:spacing w:line="444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before="72" w:line="241" w:lineRule="auto"/>
              <w:ind w:left="245" w:right="128" w:hanging="73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1"/>
                <w:sz w:val="22"/>
                <w:szCs w:val="22"/>
              </w:rPr>
              <w:t>自动启动</w:t>
            </w:r>
            <w:r>
              <w:rPr>
                <w:rFonts w:hint="eastAsia"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控制器</w:t>
            </w:r>
          </w:p>
        </w:tc>
        <w:tc>
          <w:tcPr>
            <w:tcW w:w="3189" w:type="pct"/>
            <w:vAlign w:val="top"/>
          </w:tcPr>
          <w:p>
            <w:pPr>
              <w:spacing w:before="52" w:line="252" w:lineRule="auto"/>
              <w:ind w:left="111" w:right="117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控制系统：用于单机自动化，开机、停</w:t>
            </w: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</w:rPr>
              <w:t>机、升速和降速等；具有过压、欠压、</w:t>
            </w: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7"/>
                <w:sz w:val="22"/>
                <w:szCs w:val="22"/>
              </w:rPr>
              <w:t>过频、欠频、缺项、逆相序功能， 发电</w:t>
            </w: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</w:rPr>
              <w:t>具有过压、欠压、过频、欠频、过流、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过功率、逆功率、缺项、逆功率功能。</w:t>
            </w:r>
          </w:p>
        </w:tc>
        <w:tc>
          <w:tcPr>
            <w:tcW w:w="430" w:type="pct"/>
            <w:vAlign w:val="top"/>
          </w:tcPr>
          <w:p>
            <w:pPr>
              <w:pStyle w:val="9"/>
              <w:spacing w:line="299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30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before="71" w:line="222" w:lineRule="auto"/>
              <w:ind w:left="216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台</w:t>
            </w:r>
          </w:p>
        </w:tc>
        <w:tc>
          <w:tcPr>
            <w:tcW w:w="312" w:type="pct"/>
            <w:vAlign w:val="top"/>
          </w:tcPr>
          <w:p>
            <w:pPr>
              <w:pStyle w:val="9"/>
              <w:spacing w:line="317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318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before="71" w:line="182" w:lineRule="auto"/>
              <w:ind w:left="173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50" w:type="pct"/>
            <w:vAlign w:val="top"/>
          </w:tcPr>
          <w:p>
            <w:pPr>
              <w:spacing w:before="245" w:line="182" w:lineRule="auto"/>
              <w:ind w:left="13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238" w:type="pct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9"/>
              <w:rPr>
                <w:rFonts w:hint="eastAsia" w:ascii="仿宋" w:hAnsi="仿宋" w:eastAsia="仿宋" w:cs="仿宋"/>
              </w:rPr>
            </w:pPr>
          </w:p>
        </w:tc>
        <w:tc>
          <w:tcPr>
            <w:tcW w:w="577" w:type="pct"/>
            <w:vAlign w:val="top"/>
          </w:tcPr>
          <w:p>
            <w:pPr>
              <w:spacing w:before="53"/>
              <w:ind w:left="465" w:right="128" w:hanging="329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户外静音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箱</w:t>
            </w:r>
          </w:p>
        </w:tc>
        <w:tc>
          <w:tcPr>
            <w:tcW w:w="3189" w:type="pct"/>
            <w:vAlign w:val="top"/>
          </w:tcPr>
          <w:p>
            <w:pPr>
              <w:spacing w:before="53" w:line="219" w:lineRule="auto"/>
              <w:ind w:left="111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</w:rPr>
              <w:t>尺寸要求：≥6000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</w:rPr>
              <w:t>2600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</w:rPr>
              <w:t>2950</w:t>
            </w:r>
          </w:p>
          <w:p>
            <w:pPr>
              <w:spacing w:before="50" w:line="218" w:lineRule="auto"/>
              <w:ind w:left="123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噪音要求：在室外空旷地带，除去境外</w:t>
            </w:r>
            <w:r>
              <w:rPr>
                <w:rFonts w:hint="eastAsia" w:ascii="仿宋" w:hAnsi="仿宋" w:eastAsia="仿宋" w:cs="仿宋"/>
                <w:spacing w:val="-4"/>
                <w:sz w:val="22"/>
                <w:szCs w:val="22"/>
              </w:rPr>
              <w:t>噪音，距离低噪音箱</w:t>
            </w:r>
            <w:r>
              <w:rPr>
                <w:rFonts w:hint="eastAsia" w:ascii="仿宋" w:hAnsi="仿宋" w:eastAsia="仿宋" w:cs="仿宋"/>
                <w:spacing w:val="-38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2"/>
                <w:szCs w:val="22"/>
              </w:rPr>
              <w:t>7</w:t>
            </w:r>
            <w:r>
              <w:rPr>
                <w:rFonts w:hint="eastAsia" w:ascii="仿宋" w:hAnsi="仿宋" w:eastAsia="仿宋" w:cs="仿宋"/>
                <w:spacing w:val="-48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2"/>
                <w:szCs w:val="22"/>
              </w:rPr>
              <w:t>米处</w:t>
            </w:r>
            <w:r>
              <w:rPr>
                <w:rFonts w:hint="eastAsia" w:ascii="仿宋" w:hAnsi="仿宋" w:eastAsia="仿宋" w:cs="仿宋"/>
                <w:spacing w:val="-41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1"/>
                <w:sz w:val="22"/>
                <w:szCs w:val="22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spacing w:val="-4"/>
                <w:sz w:val="22"/>
                <w:szCs w:val="22"/>
              </w:rPr>
              <w:t>73</w:t>
            </w:r>
            <w:r>
              <w:rPr>
                <w:rFonts w:hint="eastAsia" w:ascii="仿宋" w:hAnsi="仿宋" w:eastAsia="仿宋" w:cs="仿宋"/>
                <w:spacing w:val="-43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2"/>
                <w:szCs w:val="22"/>
              </w:rPr>
              <w:t>分贝以</w:t>
            </w:r>
            <w:r>
              <w:rPr>
                <w:rFonts w:hint="eastAsia" w:ascii="仿宋" w:hAnsi="仿宋" w:eastAsia="仿宋" w:cs="仿宋"/>
                <w:spacing w:val="-13"/>
                <w:sz w:val="22"/>
                <w:szCs w:val="22"/>
              </w:rPr>
              <w:t>内，1</w:t>
            </w:r>
            <w:r>
              <w:rPr>
                <w:rFonts w:hint="eastAsia" w:ascii="仿宋" w:hAnsi="仿宋" w:eastAsia="仿宋" w:cs="仿宋"/>
                <w:spacing w:val="-46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3"/>
                <w:sz w:val="22"/>
                <w:szCs w:val="22"/>
              </w:rPr>
              <w:t>米处</w:t>
            </w:r>
            <w:r>
              <w:rPr>
                <w:rFonts w:hint="eastAsia" w:ascii="仿宋" w:hAnsi="仿宋" w:eastAsia="仿宋" w:cs="仿宋"/>
                <w:spacing w:val="-45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1"/>
                <w:sz w:val="22"/>
                <w:szCs w:val="22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spacing w:val="-13"/>
                <w:sz w:val="22"/>
                <w:szCs w:val="22"/>
              </w:rPr>
              <w:t>83</w:t>
            </w:r>
            <w:r>
              <w:rPr>
                <w:rFonts w:hint="eastAsia" w:ascii="仿宋" w:hAnsi="仿宋" w:eastAsia="仿宋" w:cs="仿宋"/>
                <w:spacing w:val="-44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3"/>
                <w:sz w:val="22"/>
                <w:szCs w:val="22"/>
              </w:rPr>
              <w:t>分贝以内</w:t>
            </w:r>
          </w:p>
        </w:tc>
        <w:tc>
          <w:tcPr>
            <w:tcW w:w="430" w:type="pct"/>
            <w:vAlign w:val="top"/>
          </w:tcPr>
          <w:p>
            <w:pPr>
              <w:spacing w:before="208" w:line="221" w:lineRule="auto"/>
              <w:ind w:left="20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项</w:t>
            </w:r>
          </w:p>
        </w:tc>
        <w:tc>
          <w:tcPr>
            <w:tcW w:w="312" w:type="pct"/>
            <w:vAlign w:val="top"/>
          </w:tcPr>
          <w:p>
            <w:pPr>
              <w:spacing w:before="245" w:line="182" w:lineRule="auto"/>
              <w:ind w:left="173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</w:tr>
    </w:tbl>
    <w:p>
      <w:pPr>
        <w:pStyle w:val="3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  <w:sectPr>
          <w:footerReference r:id="rId5" w:type="default"/>
          <w:pgSz w:w="11907" w:h="16839"/>
          <w:pgMar w:top="1431" w:right="1785" w:bottom="1280" w:left="1785" w:header="0" w:footer="1105" w:gutter="0"/>
          <w:cols w:space="720" w:num="1"/>
        </w:sectPr>
      </w:pPr>
    </w:p>
    <w:p>
      <w:pPr>
        <w:spacing w:line="91" w:lineRule="auto"/>
        <w:rPr>
          <w:rFonts w:hint="eastAsia" w:ascii="仿宋" w:hAnsi="仿宋" w:eastAsia="仿宋" w:cs="仿宋"/>
          <w:sz w:val="2"/>
        </w:rPr>
      </w:pPr>
    </w:p>
    <w:tbl>
      <w:tblPr>
        <w:tblStyle w:val="8"/>
        <w:tblW w:w="8145" w:type="dxa"/>
        <w:tblInd w:w="10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403"/>
        <w:gridCol w:w="959"/>
        <w:gridCol w:w="5160"/>
        <w:gridCol w:w="688"/>
        <w:gridCol w:w="5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88" w:type="dxa"/>
            <w:vAlign w:val="top"/>
          </w:tcPr>
          <w:p>
            <w:pPr>
              <w:spacing w:before="81" w:line="182" w:lineRule="auto"/>
              <w:ind w:left="12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</w:t>
            </w:r>
          </w:p>
        </w:tc>
        <w:tc>
          <w:tcPr>
            <w:tcW w:w="403" w:type="dxa"/>
            <w:vMerge w:val="restart"/>
            <w:tcBorders>
              <w:bottom w:val="nil"/>
            </w:tcBorders>
            <w:vAlign w:val="top"/>
          </w:tcPr>
          <w:p>
            <w:pPr>
              <w:pStyle w:val="9"/>
              <w:rPr>
                <w:rFonts w:hint="eastAsia" w:ascii="仿宋" w:hAnsi="仿宋" w:eastAsia="仿宋" w:cs="仿宋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44" w:line="220" w:lineRule="auto"/>
              <w:ind w:left="382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9"/>
                <w:sz w:val="22"/>
                <w:szCs w:val="22"/>
              </w:rPr>
              <w:t>电池</w:t>
            </w:r>
          </w:p>
        </w:tc>
        <w:tc>
          <w:tcPr>
            <w:tcW w:w="5160" w:type="dxa"/>
            <w:vAlign w:val="top"/>
          </w:tcPr>
          <w:p>
            <w:pPr>
              <w:spacing w:before="44" w:line="220" w:lineRule="auto"/>
              <w:ind w:left="115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</w:rPr>
              <w:t>200AH</w:t>
            </w:r>
            <w:r>
              <w:rPr>
                <w:rFonts w:hint="eastAsia" w:ascii="仿宋" w:hAnsi="仿宋" w:eastAsia="仿宋" w:cs="仿宋"/>
                <w:spacing w:val="-34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</w:rPr>
              <w:t>免维护电池</w:t>
            </w:r>
          </w:p>
        </w:tc>
        <w:tc>
          <w:tcPr>
            <w:tcW w:w="688" w:type="dxa"/>
            <w:vAlign w:val="top"/>
          </w:tcPr>
          <w:p>
            <w:pPr>
              <w:spacing w:before="44" w:line="220" w:lineRule="auto"/>
              <w:ind w:left="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套</w:t>
            </w:r>
          </w:p>
        </w:tc>
        <w:tc>
          <w:tcPr>
            <w:tcW w:w="547" w:type="dxa"/>
            <w:vAlign w:val="top"/>
          </w:tcPr>
          <w:p>
            <w:pPr>
              <w:spacing w:before="81" w:line="182" w:lineRule="auto"/>
              <w:ind w:left="173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88" w:type="dxa"/>
            <w:vAlign w:val="top"/>
          </w:tcPr>
          <w:p>
            <w:pPr>
              <w:spacing w:before="83" w:line="180" w:lineRule="auto"/>
              <w:ind w:left="13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</w:t>
            </w:r>
          </w:p>
        </w:tc>
        <w:tc>
          <w:tcPr>
            <w:tcW w:w="4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9"/>
              <w:rPr>
                <w:rFonts w:hint="eastAsia" w:ascii="仿宋" w:hAnsi="仿宋" w:eastAsia="仿宋" w:cs="仿宋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45" w:line="219" w:lineRule="auto"/>
              <w:ind w:left="355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机油</w:t>
            </w:r>
          </w:p>
        </w:tc>
        <w:tc>
          <w:tcPr>
            <w:tcW w:w="5160" w:type="dxa"/>
            <w:vAlign w:val="top"/>
          </w:tcPr>
          <w:p>
            <w:pPr>
              <w:spacing w:before="45" w:line="219" w:lineRule="auto"/>
              <w:ind w:left="115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</w:rPr>
              <w:t>厂家配套  CH-4</w:t>
            </w:r>
          </w:p>
        </w:tc>
        <w:tc>
          <w:tcPr>
            <w:tcW w:w="688" w:type="dxa"/>
            <w:vAlign w:val="top"/>
          </w:tcPr>
          <w:p>
            <w:pPr>
              <w:spacing w:before="45" w:line="219" w:lineRule="auto"/>
              <w:ind w:left="20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项</w:t>
            </w:r>
          </w:p>
        </w:tc>
        <w:tc>
          <w:tcPr>
            <w:tcW w:w="547" w:type="dxa"/>
            <w:vAlign w:val="top"/>
          </w:tcPr>
          <w:p>
            <w:pPr>
              <w:spacing w:before="81" w:line="182" w:lineRule="auto"/>
              <w:ind w:left="173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88" w:type="dxa"/>
            <w:vAlign w:val="top"/>
          </w:tcPr>
          <w:p>
            <w:pPr>
              <w:spacing w:before="84" w:line="182" w:lineRule="auto"/>
              <w:ind w:left="127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</w:t>
            </w:r>
          </w:p>
        </w:tc>
        <w:tc>
          <w:tcPr>
            <w:tcW w:w="4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9"/>
              <w:rPr>
                <w:rFonts w:hint="eastAsia" w:ascii="仿宋" w:hAnsi="仿宋" w:eastAsia="仿宋" w:cs="仿宋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48" w:line="219" w:lineRule="auto"/>
              <w:ind w:left="26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5"/>
                <w:sz w:val="22"/>
                <w:szCs w:val="22"/>
              </w:rPr>
              <w:t>防冻液</w:t>
            </w:r>
          </w:p>
        </w:tc>
        <w:tc>
          <w:tcPr>
            <w:tcW w:w="5160" w:type="dxa"/>
            <w:vAlign w:val="top"/>
          </w:tcPr>
          <w:p>
            <w:pPr>
              <w:spacing w:before="48" w:line="219" w:lineRule="auto"/>
              <w:ind w:left="115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</w:rPr>
              <w:t>厂家配套 -20</w:t>
            </w:r>
            <w:r>
              <w:rPr>
                <w:rFonts w:hint="eastAsia" w:ascii="仿宋" w:hAnsi="仿宋" w:eastAsia="仿宋" w:cs="仿宋"/>
                <w:spacing w:val="-8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</w:rPr>
              <w:t>°</w:t>
            </w:r>
          </w:p>
        </w:tc>
        <w:tc>
          <w:tcPr>
            <w:tcW w:w="688" w:type="dxa"/>
            <w:vAlign w:val="top"/>
          </w:tcPr>
          <w:p>
            <w:pPr>
              <w:spacing w:before="48" w:line="219" w:lineRule="auto"/>
              <w:ind w:left="20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项</w:t>
            </w:r>
          </w:p>
        </w:tc>
        <w:tc>
          <w:tcPr>
            <w:tcW w:w="547" w:type="dxa"/>
            <w:vAlign w:val="top"/>
          </w:tcPr>
          <w:p>
            <w:pPr>
              <w:spacing w:before="84" w:line="182" w:lineRule="auto"/>
              <w:ind w:left="173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88" w:type="dxa"/>
            <w:vAlign w:val="top"/>
          </w:tcPr>
          <w:p>
            <w:pPr>
              <w:spacing w:before="240" w:line="180" w:lineRule="auto"/>
              <w:ind w:left="131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</w:t>
            </w:r>
          </w:p>
        </w:tc>
        <w:tc>
          <w:tcPr>
            <w:tcW w:w="4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9"/>
              <w:rPr>
                <w:rFonts w:hint="eastAsia" w:ascii="仿宋" w:hAnsi="仿宋" w:eastAsia="仿宋" w:cs="仿宋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46"/>
              <w:ind w:left="463" w:right="128" w:hanging="324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</w:rPr>
              <w:t>发电机基</w:t>
            </w:r>
            <w:r>
              <w:rPr>
                <w:rFonts w:hint="eastAsia" w:ascii="仿宋" w:hAnsi="仿宋" w:eastAsia="仿宋" w:cs="仿宋"/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础</w:t>
            </w:r>
          </w:p>
        </w:tc>
        <w:tc>
          <w:tcPr>
            <w:tcW w:w="5160" w:type="dxa"/>
            <w:vAlign w:val="top"/>
          </w:tcPr>
          <w:p>
            <w:pPr>
              <w:spacing w:before="46"/>
              <w:ind w:left="115" w:right="117" w:hanging="4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</w:rPr>
              <w:t>平整土地、混凝土基础建设、电缆沟建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设</w:t>
            </w:r>
          </w:p>
        </w:tc>
        <w:tc>
          <w:tcPr>
            <w:tcW w:w="688" w:type="dxa"/>
            <w:vAlign w:val="top"/>
          </w:tcPr>
          <w:p>
            <w:pPr>
              <w:pStyle w:val="9"/>
              <w:spacing w:line="283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before="72" w:line="219" w:lineRule="auto"/>
              <w:ind w:left="20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项</w:t>
            </w:r>
          </w:p>
        </w:tc>
        <w:tc>
          <w:tcPr>
            <w:tcW w:w="547" w:type="dxa"/>
            <w:vAlign w:val="top"/>
          </w:tcPr>
          <w:p>
            <w:pPr>
              <w:pStyle w:val="9"/>
              <w:spacing w:line="32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before="71" w:line="182" w:lineRule="auto"/>
              <w:ind w:left="173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88" w:type="dxa"/>
            <w:vAlign w:val="top"/>
          </w:tcPr>
          <w:p>
            <w:pPr>
              <w:spacing w:before="238" w:line="182" w:lineRule="auto"/>
              <w:ind w:left="126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</w:t>
            </w:r>
          </w:p>
        </w:tc>
        <w:tc>
          <w:tcPr>
            <w:tcW w:w="4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9"/>
              <w:rPr>
                <w:rFonts w:hint="eastAsia" w:ascii="仿宋" w:hAnsi="仿宋" w:eastAsia="仿宋" w:cs="仿宋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72" w:line="218" w:lineRule="auto"/>
              <w:ind w:left="376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7"/>
                <w:sz w:val="22"/>
                <w:szCs w:val="22"/>
              </w:rPr>
              <w:t>围栏</w:t>
            </w:r>
          </w:p>
        </w:tc>
        <w:tc>
          <w:tcPr>
            <w:tcW w:w="5160" w:type="dxa"/>
            <w:vAlign w:val="top"/>
          </w:tcPr>
          <w:p>
            <w:pPr>
              <w:spacing w:before="46"/>
              <w:ind w:left="111" w:right="141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3"/>
                <w:sz w:val="22"/>
                <w:szCs w:val="22"/>
              </w:rPr>
              <w:t>材质：不锈钢； 高度： 2m，具备进出门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及门锁</w:t>
            </w:r>
          </w:p>
        </w:tc>
        <w:tc>
          <w:tcPr>
            <w:tcW w:w="688" w:type="dxa"/>
            <w:vAlign w:val="top"/>
          </w:tcPr>
          <w:p>
            <w:pPr>
              <w:spacing w:before="201" w:line="242" w:lineRule="auto"/>
              <w:ind w:left="193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</w:rPr>
              <w:t>m²</w:t>
            </w:r>
          </w:p>
        </w:tc>
        <w:tc>
          <w:tcPr>
            <w:tcW w:w="547" w:type="dxa"/>
            <w:vAlign w:val="top"/>
          </w:tcPr>
          <w:p>
            <w:pPr>
              <w:spacing w:before="84" w:line="180" w:lineRule="auto"/>
              <w:ind w:left="161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预计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88" w:type="dxa"/>
            <w:vAlign w:val="top"/>
          </w:tcPr>
          <w:p>
            <w:pPr>
              <w:spacing w:before="239" w:line="182" w:lineRule="auto"/>
              <w:ind w:left="126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</w:t>
            </w:r>
          </w:p>
        </w:tc>
        <w:tc>
          <w:tcPr>
            <w:tcW w:w="4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9"/>
              <w:rPr>
                <w:rFonts w:hint="eastAsia" w:ascii="仿宋" w:hAnsi="仿宋" w:eastAsia="仿宋" w:cs="仿宋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46"/>
              <w:ind w:left="135" w:right="128" w:firstLine="4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</w:rPr>
              <w:t>安装、调</w:t>
            </w:r>
            <w:r>
              <w:rPr>
                <w:rFonts w:hint="eastAsia"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试、运输</w:t>
            </w:r>
          </w:p>
        </w:tc>
        <w:tc>
          <w:tcPr>
            <w:tcW w:w="5160" w:type="dxa"/>
            <w:vAlign w:val="top"/>
          </w:tcPr>
          <w:p>
            <w:pPr>
              <w:spacing w:before="46"/>
              <w:ind w:left="114" w:right="149" w:firstLine="1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</w:rPr>
              <w:t>发电机等的运输、搬运、吊装、安装、调试</w:t>
            </w:r>
          </w:p>
        </w:tc>
        <w:tc>
          <w:tcPr>
            <w:tcW w:w="688" w:type="dxa"/>
            <w:vAlign w:val="top"/>
          </w:tcPr>
          <w:p>
            <w:pPr>
              <w:spacing w:before="202" w:line="221" w:lineRule="auto"/>
              <w:ind w:left="20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套</w:t>
            </w:r>
          </w:p>
        </w:tc>
        <w:tc>
          <w:tcPr>
            <w:tcW w:w="547" w:type="dxa"/>
            <w:vAlign w:val="top"/>
          </w:tcPr>
          <w:p>
            <w:pPr>
              <w:spacing w:before="239" w:line="182" w:lineRule="auto"/>
              <w:ind w:left="173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88" w:type="dxa"/>
            <w:vAlign w:val="top"/>
          </w:tcPr>
          <w:p>
            <w:pPr>
              <w:pStyle w:val="9"/>
              <w:spacing w:line="316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316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before="72" w:line="182" w:lineRule="auto"/>
              <w:ind w:left="14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</w:t>
            </w:r>
          </w:p>
        </w:tc>
        <w:tc>
          <w:tcPr>
            <w:tcW w:w="403" w:type="dxa"/>
            <w:vMerge w:val="continue"/>
            <w:tcBorders>
              <w:top w:val="nil"/>
            </w:tcBorders>
            <w:vAlign w:val="top"/>
          </w:tcPr>
          <w:p>
            <w:pPr>
              <w:pStyle w:val="9"/>
              <w:rPr>
                <w:rFonts w:hint="eastAsia"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双电源切换开关成套柜1</w:t>
            </w:r>
          </w:p>
        </w:tc>
        <w:tc>
          <w:tcPr>
            <w:tcW w:w="516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柜体要求：标准GGD；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双电源切换开关：2000A×1个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隔离开关：2000A×2个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出线配断路器：630A×2个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功能液晶数显表计：3个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发电机母排：连接成套柜2发电机侧进线母排上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指示灯等显示设备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套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388" w:type="dxa"/>
            <w:vAlign w:val="top"/>
          </w:tcPr>
          <w:p>
            <w:pPr>
              <w:pStyle w:val="9"/>
              <w:spacing w:line="316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spacing w:line="316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before="72" w:line="182" w:lineRule="auto"/>
              <w:ind w:left="14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11</w:t>
            </w:r>
          </w:p>
        </w:tc>
        <w:tc>
          <w:tcPr>
            <w:tcW w:w="40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" w:line="208" w:lineRule="auto"/>
              <w:ind w:left="3671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成</w:t>
            </w:r>
            <w:r>
              <w:rPr>
                <w:rFonts w:hint="eastAsia" w:ascii="仿宋" w:hAnsi="仿宋" w:eastAsia="仿宋" w:cs="仿宋"/>
                <w:spacing w:val="-17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套</w:t>
            </w:r>
            <w:r>
              <w:rPr>
                <w:rFonts w:hint="eastAsia" w:ascii="仿宋" w:hAnsi="仿宋" w:eastAsia="仿宋" w:cs="仿宋"/>
                <w:spacing w:val="-19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设</w:t>
            </w:r>
            <w:r>
              <w:rPr>
                <w:rFonts w:hint="eastAsia" w:ascii="仿宋" w:hAnsi="仿宋" w:eastAsia="仿宋" w:cs="仿宋"/>
                <w:spacing w:val="-18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备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双电源切换开关成套柜2</w:t>
            </w:r>
          </w:p>
        </w:tc>
        <w:tc>
          <w:tcPr>
            <w:tcW w:w="516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pacing w:val="-1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柜体要求：标准GGD；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双电源切换开关：630A×1个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隔离开关：800A×2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出线配断路器：630A×1个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多功能液晶数显表计：2个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指示灯等显示设备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套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388" w:type="dxa"/>
            <w:vAlign w:val="top"/>
          </w:tcPr>
          <w:p>
            <w:pPr>
              <w:pStyle w:val="9"/>
              <w:spacing w:line="325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before="71" w:line="182" w:lineRule="auto"/>
              <w:ind w:left="14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12</w:t>
            </w:r>
          </w:p>
        </w:tc>
        <w:tc>
          <w:tcPr>
            <w:tcW w:w="40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9"/>
              <w:rPr>
                <w:rFonts w:hint="eastAsia" w:ascii="仿宋" w:hAnsi="仿宋" w:eastAsia="仿宋" w:cs="仿宋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49" w:line="222" w:lineRule="auto"/>
              <w:ind w:left="135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</w:rPr>
              <w:t>抽屉底座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开关技改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</w:rPr>
              <w:t>及电缆改</w:t>
            </w:r>
          </w:p>
          <w:p>
            <w:pPr>
              <w:spacing w:before="49" w:line="217" w:lineRule="auto"/>
              <w:ind w:firstLine="220" w:firstLineChars="10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接</w:t>
            </w:r>
          </w:p>
        </w:tc>
        <w:tc>
          <w:tcPr>
            <w:tcW w:w="5160" w:type="dxa"/>
            <w:vAlign w:val="top"/>
          </w:tcPr>
          <w:p>
            <w:pPr>
              <w:pStyle w:val="9"/>
              <w:spacing w:line="289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before="71" w:line="241" w:lineRule="auto"/>
              <w:ind w:left="138" w:right="224" w:hanging="21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安装</w:t>
            </w:r>
            <w:r>
              <w:rPr>
                <w:rFonts w:hint="eastAsia" w:ascii="仿宋" w:hAnsi="仿宋" w:eastAsia="仿宋" w:cs="仿宋"/>
                <w:spacing w:val="-35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630A</w:t>
            </w:r>
            <w:r>
              <w:rPr>
                <w:rFonts w:hint="eastAsia" w:ascii="仿宋" w:hAnsi="仿宋" w:eastAsia="仿宋" w:cs="仿宋"/>
                <w:spacing w:val="-49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底座开关一个；拆除原市电</w:t>
            </w: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</w:rPr>
              <w:t>电缆并加电缆对接及改接至新抽屉柜</w:t>
            </w:r>
          </w:p>
        </w:tc>
        <w:tc>
          <w:tcPr>
            <w:tcW w:w="688" w:type="dxa"/>
            <w:vAlign w:val="top"/>
          </w:tcPr>
          <w:p>
            <w:pPr>
              <w:pStyle w:val="9"/>
              <w:spacing w:line="444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before="71" w:line="221" w:lineRule="auto"/>
              <w:ind w:left="20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项</w:t>
            </w:r>
          </w:p>
        </w:tc>
        <w:tc>
          <w:tcPr>
            <w:tcW w:w="547" w:type="dxa"/>
            <w:vAlign w:val="top"/>
          </w:tcPr>
          <w:p>
            <w:pPr>
              <w:pStyle w:val="9"/>
              <w:rPr>
                <w:rFonts w:hint="eastAsia" w:ascii="仿宋" w:hAnsi="仿宋" w:eastAsia="仿宋" w:cs="仿宋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</w:rPr>
            </w:pPr>
          </w:p>
          <w:p>
            <w:pPr>
              <w:spacing w:before="72" w:line="182" w:lineRule="auto"/>
              <w:ind w:left="173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88" w:type="dxa"/>
            <w:vAlign w:val="top"/>
          </w:tcPr>
          <w:p>
            <w:pPr>
              <w:spacing w:before="95" w:line="182" w:lineRule="auto"/>
              <w:ind w:left="128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40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9"/>
              <w:rPr>
                <w:rFonts w:hint="eastAsia" w:ascii="仿宋" w:hAnsi="仿宋" w:eastAsia="仿宋" w:cs="仿宋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49" w:line="217" w:lineRule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开关</w:t>
            </w:r>
          </w:p>
        </w:tc>
        <w:tc>
          <w:tcPr>
            <w:tcW w:w="5160" w:type="dxa"/>
            <w:vAlign w:val="top"/>
          </w:tcPr>
          <w:p>
            <w:pPr>
              <w:spacing w:before="71" w:line="241" w:lineRule="auto"/>
              <w:ind w:left="138" w:right="224" w:hanging="21"/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新建800A底座开关一个，电缆位置调整。</w:t>
            </w:r>
          </w:p>
        </w:tc>
        <w:tc>
          <w:tcPr>
            <w:tcW w:w="688" w:type="dxa"/>
            <w:vAlign w:val="top"/>
          </w:tcPr>
          <w:p>
            <w:pPr>
              <w:spacing w:before="71" w:line="221" w:lineRule="auto"/>
              <w:ind w:left="202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个</w:t>
            </w:r>
          </w:p>
        </w:tc>
        <w:tc>
          <w:tcPr>
            <w:tcW w:w="547" w:type="dxa"/>
            <w:vAlign w:val="top"/>
          </w:tcPr>
          <w:p>
            <w:pPr>
              <w:spacing w:before="72" w:line="182" w:lineRule="auto"/>
              <w:ind w:left="173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388" w:type="dxa"/>
            <w:vAlign w:val="top"/>
          </w:tcPr>
          <w:p>
            <w:pPr>
              <w:spacing w:before="240" w:line="182" w:lineRule="auto"/>
              <w:ind w:left="142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0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9"/>
              <w:rPr>
                <w:rFonts w:hint="eastAsia"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电缆</w:t>
            </w:r>
          </w:p>
        </w:tc>
        <w:tc>
          <w:tcPr>
            <w:tcW w:w="516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YJV-0.6/1kv-3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240+1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120平方铜芯电缆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m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预计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88" w:type="dxa"/>
            <w:vAlign w:val="top"/>
          </w:tcPr>
          <w:p>
            <w:pPr>
              <w:spacing w:before="85" w:line="182" w:lineRule="auto"/>
              <w:ind w:left="142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40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9"/>
              <w:rPr>
                <w:rFonts w:hint="eastAsia"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电缆</w:t>
            </w:r>
          </w:p>
        </w:tc>
        <w:tc>
          <w:tcPr>
            <w:tcW w:w="516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YJV-0.6/1kv-3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185+2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90平方铜芯电缆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m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预计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388" w:type="dxa"/>
            <w:vAlign w:val="top"/>
          </w:tcPr>
          <w:p>
            <w:pPr>
              <w:spacing w:before="86" w:line="182" w:lineRule="auto"/>
              <w:ind w:left="142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0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9"/>
              <w:rPr>
                <w:rFonts w:hint="eastAsia"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电缆</w:t>
            </w:r>
          </w:p>
        </w:tc>
        <w:tc>
          <w:tcPr>
            <w:tcW w:w="516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YJV-0.6/1kv-3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120+2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70平方铜芯电缆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m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预计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388" w:type="dxa"/>
            <w:vAlign w:val="top"/>
          </w:tcPr>
          <w:p>
            <w:pPr>
              <w:spacing w:before="97" w:line="180" w:lineRule="auto"/>
              <w:ind w:left="130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40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9"/>
              <w:rPr>
                <w:rFonts w:hint="eastAsia"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pacing w:val="-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电缆</w:t>
            </w:r>
          </w:p>
        </w:tc>
        <w:tc>
          <w:tcPr>
            <w:tcW w:w="516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pacing w:val="-1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YJV-0.6/1kv-3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35+2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16平方铜芯电缆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m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预计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388" w:type="dxa"/>
            <w:vAlign w:val="top"/>
          </w:tcPr>
          <w:p>
            <w:pPr>
              <w:spacing w:before="97" w:line="180" w:lineRule="auto"/>
              <w:ind w:left="130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40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9"/>
              <w:rPr>
                <w:rFonts w:hint="eastAsia" w:ascii="仿宋" w:hAnsi="仿宋" w:eastAsia="仿宋" w:cs="仿宋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pacing w:val="-9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电缆</w:t>
            </w:r>
          </w:p>
        </w:tc>
        <w:tc>
          <w:tcPr>
            <w:tcW w:w="516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YJV-0.6/1kv-3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6+1</w:t>
            </w: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4平方铜芯电缆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及配管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m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预计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88" w:type="dxa"/>
            <w:vAlign w:val="top"/>
          </w:tcPr>
          <w:p>
            <w:pPr>
              <w:spacing w:before="86" w:line="182" w:lineRule="auto"/>
              <w:ind w:left="142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40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9"/>
              <w:rPr>
                <w:rFonts w:hint="eastAsia" w:ascii="仿宋" w:hAnsi="仿宋" w:eastAsia="仿宋" w:cs="仿宋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206" w:line="221" w:lineRule="auto"/>
              <w:ind w:left="356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桥架</w:t>
            </w:r>
          </w:p>
        </w:tc>
        <w:tc>
          <w:tcPr>
            <w:tcW w:w="5160" w:type="dxa"/>
            <w:vAlign w:val="top"/>
          </w:tcPr>
          <w:p>
            <w:pPr>
              <w:spacing w:before="206"/>
              <w:ind w:left="117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</w:rPr>
              <w:t>300mm×150mm</w:t>
            </w:r>
          </w:p>
        </w:tc>
        <w:tc>
          <w:tcPr>
            <w:tcW w:w="688" w:type="dxa"/>
            <w:vAlign w:val="top"/>
          </w:tcPr>
          <w:p>
            <w:pPr>
              <w:spacing w:before="205" w:line="242" w:lineRule="auto"/>
              <w:ind w:left="248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m</w:t>
            </w:r>
          </w:p>
        </w:tc>
        <w:tc>
          <w:tcPr>
            <w:tcW w:w="547" w:type="dxa"/>
            <w:vAlign w:val="top"/>
          </w:tcPr>
          <w:p>
            <w:pPr>
              <w:spacing w:before="89" w:line="180" w:lineRule="auto"/>
              <w:ind w:left="16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预计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88" w:type="dxa"/>
            <w:vAlign w:val="top"/>
          </w:tcPr>
          <w:p>
            <w:pPr>
              <w:spacing w:before="98" w:line="180" w:lineRule="auto"/>
              <w:ind w:left="131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40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9"/>
              <w:rPr>
                <w:rFonts w:hint="eastAsia" w:ascii="仿宋" w:hAnsi="仿宋" w:eastAsia="仿宋" w:cs="仿宋"/>
              </w:rPr>
            </w:pPr>
          </w:p>
        </w:tc>
        <w:tc>
          <w:tcPr>
            <w:tcW w:w="959" w:type="dxa"/>
            <w:vAlign w:val="top"/>
          </w:tcPr>
          <w:p>
            <w:pPr>
              <w:pStyle w:val="9"/>
              <w:spacing w:line="289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before="72" w:line="215" w:lineRule="auto"/>
              <w:ind w:left="14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安装调试</w:t>
            </w:r>
          </w:p>
        </w:tc>
        <w:tc>
          <w:tcPr>
            <w:tcW w:w="5160" w:type="dxa"/>
            <w:vAlign w:val="top"/>
          </w:tcPr>
          <w:p>
            <w:pPr>
              <w:spacing w:before="50" w:line="221" w:lineRule="auto"/>
              <w:ind w:left="112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2"/>
                <w:szCs w:val="22"/>
              </w:rPr>
              <w:t>配电柜底座制作、配电柜的安装、试</w:t>
            </w:r>
            <w:r>
              <w:rPr>
                <w:rFonts w:hint="eastAsia" w:ascii="仿宋" w:hAnsi="仿宋" w:eastAsia="仿宋" w:cs="仿宋"/>
                <w:spacing w:val="-7"/>
                <w:sz w:val="22"/>
                <w:szCs w:val="22"/>
              </w:rPr>
              <w:t>验；电缆施放及试验；双电源切换试验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；天花板的拆除与恢复</w:t>
            </w:r>
          </w:p>
        </w:tc>
        <w:tc>
          <w:tcPr>
            <w:tcW w:w="688" w:type="dxa"/>
            <w:vAlign w:val="top"/>
          </w:tcPr>
          <w:p>
            <w:pPr>
              <w:pStyle w:val="9"/>
              <w:spacing w:line="289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before="72" w:line="215" w:lineRule="auto"/>
              <w:ind w:left="20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项</w:t>
            </w:r>
          </w:p>
        </w:tc>
        <w:tc>
          <w:tcPr>
            <w:tcW w:w="547" w:type="dxa"/>
            <w:vAlign w:val="top"/>
          </w:tcPr>
          <w:p>
            <w:pPr>
              <w:pStyle w:val="9"/>
              <w:spacing w:line="326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before="71" w:line="182" w:lineRule="auto"/>
              <w:ind w:left="173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88" w:type="dxa"/>
            <w:vAlign w:val="top"/>
          </w:tcPr>
          <w:p>
            <w:pPr>
              <w:spacing w:before="98" w:line="180" w:lineRule="auto"/>
              <w:ind w:left="131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0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9"/>
              <w:rPr>
                <w:rFonts w:hint="eastAsia" w:ascii="仿宋" w:hAnsi="仿宋" w:eastAsia="仿宋" w:cs="仿宋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72" w:line="215" w:lineRule="auto"/>
              <w:ind w:left="14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160" w:type="dxa"/>
            <w:vAlign w:val="top"/>
          </w:tcPr>
          <w:p>
            <w:pPr>
              <w:spacing w:before="48" w:line="215" w:lineRule="auto"/>
              <w:ind w:left="111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688" w:type="dxa"/>
            <w:vAlign w:val="top"/>
          </w:tcPr>
          <w:p>
            <w:pPr>
              <w:spacing w:before="72" w:line="215" w:lineRule="auto"/>
              <w:ind w:left="202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47" w:type="dxa"/>
            <w:vAlign w:val="top"/>
          </w:tcPr>
          <w:p>
            <w:pPr>
              <w:spacing w:before="71" w:line="182" w:lineRule="auto"/>
              <w:ind w:left="173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widowControl w:val="0"/>
        <w:numPr>
          <w:ilvl w:val="0"/>
          <w:numId w:val="0"/>
        </w:numPr>
        <w:kinsoku/>
        <w:autoSpaceDE/>
        <w:autoSpaceDN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 w:ascii="仿宋" w:hAnsi="仿宋" w:eastAsia="仿宋" w:cs="仿宋"/>
          <w:b/>
          <w:snapToGrid/>
          <w:kern w:val="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napToGrid/>
          <w:kern w:val="2"/>
          <w:sz w:val="24"/>
          <w:szCs w:val="24"/>
          <w:lang w:val="en-US" w:eastAsia="zh-CN"/>
        </w:rPr>
        <w:t>五、主要商务要求</w:t>
      </w:r>
    </w:p>
    <w:tbl>
      <w:tblPr>
        <w:tblStyle w:val="6"/>
        <w:tblpPr w:leftFromText="180" w:rightFromText="180" w:vertAnchor="text" w:horzAnchor="page" w:tblpX="1906" w:tblpY="2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6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服务期限</w:t>
            </w:r>
          </w:p>
        </w:tc>
        <w:tc>
          <w:tcPr>
            <w:tcW w:w="6625" w:type="dxa"/>
            <w:vAlign w:val="center"/>
          </w:tcPr>
          <w:p>
            <w:pPr>
              <w:adjustRightInd w:val="0"/>
              <w:snapToGrid w:val="0"/>
              <w:jc w:val="both"/>
              <w:rPr>
                <w:rStyle w:val="10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服务期限以合同约定为准，施工期限合同签订后60日内（包含但不限于备货期、施工期、调试期等）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标的提供地点</w:t>
            </w:r>
          </w:p>
        </w:tc>
        <w:tc>
          <w:tcPr>
            <w:tcW w:w="6625" w:type="dxa"/>
            <w:vAlign w:val="center"/>
          </w:tcPr>
          <w:p>
            <w:pPr>
              <w:adjustRightInd w:val="0"/>
              <w:snapToGrid w:val="0"/>
              <w:jc w:val="both"/>
              <w:rPr>
                <w:rStyle w:val="10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西华大学郫都校区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付款方式</w:t>
            </w:r>
          </w:p>
        </w:tc>
        <w:tc>
          <w:tcPr>
            <w:tcW w:w="6625" w:type="dxa"/>
          </w:tcPr>
          <w:p>
            <w:pPr>
              <w:adjustRightInd w:val="0"/>
              <w:snapToGrid w:val="0"/>
              <w:jc w:val="both"/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合同签订后支付合同金额的 20%，验收合格后支付合同金 </w:t>
            </w:r>
          </w:p>
          <w:p>
            <w:pPr>
              <w:adjustRightInd w:val="0"/>
              <w:snapToGrid w:val="0"/>
              <w:jc w:val="both"/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额 80%，同时需要开具相应增值税发票。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验收要求</w:t>
            </w:r>
          </w:p>
        </w:tc>
        <w:tc>
          <w:tcPr>
            <w:tcW w:w="6625" w:type="dxa"/>
          </w:tcPr>
          <w:p>
            <w:pPr>
              <w:adjustRightInd w:val="0"/>
              <w:snapToGrid w:val="0"/>
              <w:jc w:val="both"/>
              <w:rPr>
                <w:rStyle w:val="10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1.验收时间：服务期限以合同约定为准。</w:t>
            </w:r>
          </w:p>
          <w:p>
            <w:pPr>
              <w:adjustRightInd w:val="0"/>
              <w:snapToGrid w:val="0"/>
              <w:jc w:val="both"/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2.验收时，双方必须同时在场，中标人须提供所有产品合格证，并对采购人进行技术操作、安全等培训，直至能独立操作；验收合格后，由双方共同签署《验收报告》。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625" w:type="dxa"/>
          </w:tcPr>
          <w:p>
            <w:pPr>
              <w:adjustRightInd w:val="0"/>
              <w:snapToGrid w:val="0"/>
              <w:jc w:val="both"/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服务要求:</w:t>
            </w:r>
          </w:p>
          <w:p>
            <w:pPr>
              <w:adjustRightInd w:val="0"/>
              <w:snapToGrid w:val="0"/>
              <w:jc w:val="both"/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1.售后服务：2年（以验收合格后计）。</w:t>
            </w:r>
          </w:p>
          <w:p>
            <w:pPr>
              <w:adjustRightInd w:val="0"/>
              <w:snapToGrid w:val="0"/>
              <w:jc w:val="both"/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2.中标人须开通24小时客服人员电话，接受采购人的电话技术咨询和故障反馈。 </w:t>
            </w:r>
          </w:p>
          <w:p>
            <w:pPr>
              <w:adjustRightInd w:val="0"/>
              <w:snapToGrid w:val="0"/>
              <w:jc w:val="both"/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3.售后服务期内，中标人应对设备进行免费维护保养（不低于每月一次巡检及启动，每年更换机油一次，每年更换空滤一次，每年更换机油滤一次等）。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widowControl w:val="0"/>
        <w:numPr>
          <w:ilvl w:val="0"/>
          <w:numId w:val="0"/>
        </w:numPr>
        <w:kinsoku/>
        <w:autoSpaceDE/>
        <w:autoSpaceDN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snapToGrid/>
          <w:kern w:val="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napToGrid/>
          <w:kern w:val="2"/>
          <w:sz w:val="24"/>
          <w:szCs w:val="24"/>
          <w:lang w:val="en-US" w:eastAsia="zh-CN"/>
        </w:rPr>
        <w:t>六、踏勘方式</w:t>
      </w:r>
    </w:p>
    <w:p>
      <w:pPr>
        <w:adjustRightInd w:val="0"/>
        <w:snapToGrid w:val="0"/>
        <w:ind w:firstLine="720" w:firstLineChars="300"/>
        <w:jc w:val="both"/>
        <w:rPr>
          <w:rStyle w:val="10"/>
          <w:rFonts w:hint="default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现场踏勘，踏勘时间另行通知。</w:t>
      </w:r>
    </w:p>
    <w:p>
      <w:pPr>
        <w:widowControl w:val="0"/>
        <w:numPr>
          <w:ilvl w:val="0"/>
          <w:numId w:val="0"/>
        </w:numPr>
        <w:kinsoku/>
        <w:autoSpaceDE/>
        <w:autoSpaceDN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snapToGrid/>
          <w:kern w:val="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napToGrid/>
          <w:kern w:val="2"/>
          <w:sz w:val="24"/>
          <w:szCs w:val="24"/>
          <w:lang w:val="en-US" w:eastAsia="zh-CN"/>
        </w:rPr>
        <w:t>七、评审方法及分值</w:t>
      </w:r>
    </w:p>
    <w:p>
      <w:pPr>
        <w:widowControl w:val="0"/>
        <w:numPr>
          <w:ilvl w:val="0"/>
          <w:numId w:val="0"/>
        </w:numPr>
        <w:kinsoku/>
        <w:autoSpaceDE/>
        <w:autoSpaceDN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snapToGrid/>
          <w:kern w:val="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napToGrid/>
          <w:kern w:val="2"/>
          <w:sz w:val="24"/>
          <w:szCs w:val="24"/>
          <w:lang w:val="en-US" w:eastAsia="zh-CN"/>
        </w:rPr>
        <w:t>评审方法：综合评分法</w:t>
      </w:r>
    </w:p>
    <w:tbl>
      <w:tblPr>
        <w:tblStyle w:val="5"/>
        <w:tblW w:w="7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901"/>
        <w:gridCol w:w="1470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序号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评分因素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报价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0%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0分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实施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方案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%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分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技术评分因素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售后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服务保障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%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分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技术评分因素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5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履约能力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%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分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技术评分因素</w:t>
            </w:r>
          </w:p>
        </w:tc>
      </w:tr>
    </w:tbl>
    <w:p>
      <w:pPr>
        <w:pStyle w:val="3"/>
        <w:spacing w:line="241" w:lineRule="auto"/>
      </w:pPr>
    </w:p>
    <w:sectPr>
      <w:footerReference r:id="rId6" w:type="default"/>
      <w:pgSz w:w="11907" w:h="16839"/>
      <w:pgMar w:top="1431" w:right="1785" w:bottom="1281" w:left="1785" w:header="0" w:footer="110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312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309"/>
      <w:rPr>
        <w:rFonts w:ascii="宋体" w:hAnsi="宋体" w:eastAsia="宋体" w:cs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6BEDDF"/>
    <w:multiLevelType w:val="singleLevel"/>
    <w:tmpl w:val="BE6BEDD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WY3MjkyN2RhNTE1Yjk5ZWI5N2Y3M2I5ZjJmNzE5MWMifQ=="/>
    <w:docVar w:name="KSO_WPS_MARK_KEY" w:val="5314589a-63c3-44ae-ac4c-9017d330d37f"/>
  </w:docVars>
  <w:rsids>
    <w:rsidRoot w:val="00000000"/>
    <w:rsid w:val="065D710A"/>
    <w:rsid w:val="114F20F4"/>
    <w:rsid w:val="11B00E00"/>
    <w:rsid w:val="1A0C3668"/>
    <w:rsid w:val="1AA67A69"/>
    <w:rsid w:val="1B2B737F"/>
    <w:rsid w:val="25E04E68"/>
    <w:rsid w:val="28137BB2"/>
    <w:rsid w:val="29D66FE9"/>
    <w:rsid w:val="2C0C41CA"/>
    <w:rsid w:val="302B5BE1"/>
    <w:rsid w:val="31980B93"/>
    <w:rsid w:val="32851B8F"/>
    <w:rsid w:val="35E964B1"/>
    <w:rsid w:val="394144E6"/>
    <w:rsid w:val="3DD223B5"/>
    <w:rsid w:val="3DFA4C63"/>
    <w:rsid w:val="40804FAD"/>
    <w:rsid w:val="4109199E"/>
    <w:rsid w:val="459D6C40"/>
    <w:rsid w:val="4C81675F"/>
    <w:rsid w:val="4E255D2C"/>
    <w:rsid w:val="4FF73DFD"/>
    <w:rsid w:val="515F763E"/>
    <w:rsid w:val="51BE3C46"/>
    <w:rsid w:val="547B3941"/>
    <w:rsid w:val="59E855B9"/>
    <w:rsid w:val="5CA6628A"/>
    <w:rsid w:val="6618417D"/>
    <w:rsid w:val="6DC34565"/>
    <w:rsid w:val="6E626A0C"/>
    <w:rsid w:val="6EA54CEE"/>
    <w:rsid w:val="6F173698"/>
    <w:rsid w:val="76EF34AE"/>
    <w:rsid w:val="79700F63"/>
    <w:rsid w:val="7BF47CDA"/>
    <w:rsid w:val="7D2821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character" w:customStyle="1" w:styleId="10">
    <w:name w:val="font11"/>
    <w:basedOn w:val="7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paragraph" w:customStyle="1" w:styleId="11">
    <w:name w:val="正文首行缩进两字符"/>
    <w:basedOn w:val="1"/>
    <w:autoRedefine/>
    <w:qFormat/>
    <w:uiPriority w:val="0"/>
    <w:pPr>
      <w:autoSpaceDE w:val="0"/>
      <w:autoSpaceDN w:val="0"/>
      <w:adjustRightInd w:val="0"/>
      <w:spacing w:line="360" w:lineRule="atLeast"/>
      <w:ind w:firstLine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2095</Words>
  <Characters>2419</Characters>
  <TotalTime>3</TotalTime>
  <ScaleCrop>false</ScaleCrop>
  <LinksUpToDate>false</LinksUpToDate>
  <CharactersWithSpaces>2474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2024-03-21T10:30:00Z</dcterms:created>
  <dc:creator>伟 罗</dc:creator>
  <cp:lastModifiedBy>喻华</cp:lastModifiedBy>
  <dcterms:modified xsi:type="dcterms:W3CDTF">2024-04-19T02:35:41Z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2024-03-27T20:39:07Z</vt:filetime>
  </property>
  <property fmtid="{D5CDD505-2E9C-101B-9397-08002B2CF9AE}" pid="4" name="KSOProductBuildVer">
    <vt:lpwstr>2052-12.1.0.16417</vt:lpwstr>
  </property>
  <property fmtid="{D5CDD505-2E9C-101B-9397-08002B2CF9AE}" pid="5" name="ICV">
    <vt:lpwstr>DA374C111E0A441D9BA40EB967B4529E_13</vt:lpwstr>
  </property>
</Properties>
</file>