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CB494C">
      <w:pPr>
        <w:spacing w:line="360" w:lineRule="auto"/>
        <w:ind w:firstLine="420" w:firstLineChars="200"/>
        <w:jc w:val="center"/>
        <w:rPr>
          <w:rFonts w:ascii="仿宋" w:hAnsi="仿宋" w:eastAsia="仿宋" w:cs="仿宋"/>
          <w:b/>
          <w:sz w:val="32"/>
          <w:szCs w:val="36"/>
        </w:rPr>
      </w:pPr>
      <w:r>
        <w:fldChar w:fldCharType="begin"/>
      </w:r>
      <w:r>
        <w:instrText xml:space="preserve"> HYPERLINK "https://czpt.xhu.edu.cn/sfw/e?page=base.task.detail&amp;bpmNo=2403170013" \t "https://czpt.xhu.edu.cn/sfw/_blank" </w:instrText>
      </w:r>
      <w:r>
        <w:fldChar w:fldCharType="separate"/>
      </w:r>
      <w:r>
        <w:rPr>
          <w:rFonts w:hint="eastAsia" w:ascii="仿宋" w:hAnsi="仿宋" w:eastAsia="仿宋" w:cs="仿宋"/>
          <w:b/>
          <w:sz w:val="32"/>
          <w:szCs w:val="36"/>
        </w:rPr>
        <w:t>西华大学2024年后勤总公司</w:t>
      </w:r>
      <w:r>
        <w:rPr>
          <w:rFonts w:hint="eastAsia" w:ascii="仿宋" w:hAnsi="仿宋" w:eastAsia="仿宋" w:cs="仿宋"/>
          <w:b/>
          <w:sz w:val="32"/>
          <w:szCs w:val="36"/>
          <w:lang w:val="en-US" w:eastAsia="zh-CN"/>
        </w:rPr>
        <w:t>医疗</w:t>
      </w:r>
      <w:r>
        <w:rPr>
          <w:rFonts w:hint="eastAsia" w:ascii="仿宋" w:hAnsi="仿宋" w:eastAsia="仿宋" w:cs="仿宋"/>
          <w:b/>
          <w:sz w:val="32"/>
          <w:szCs w:val="36"/>
        </w:rPr>
        <w:t>专用设备采购</w:t>
      </w:r>
      <w:r>
        <w:rPr>
          <w:rFonts w:hint="eastAsia" w:ascii="仿宋" w:hAnsi="仿宋" w:eastAsia="仿宋" w:cs="仿宋"/>
          <w:b/>
          <w:sz w:val="32"/>
          <w:szCs w:val="36"/>
        </w:rPr>
        <w:fldChar w:fldCharType="end"/>
      </w:r>
      <w:r>
        <w:rPr>
          <w:rFonts w:hint="eastAsia" w:ascii="仿宋" w:hAnsi="仿宋" w:eastAsia="仿宋" w:cs="仿宋"/>
          <w:b/>
          <w:sz w:val="32"/>
          <w:szCs w:val="36"/>
        </w:rPr>
        <w:t>项目需求文件</w:t>
      </w:r>
    </w:p>
    <w:p w14:paraId="4DDC2705">
      <w:pPr>
        <w:spacing w:line="360" w:lineRule="auto"/>
        <w:ind w:firstLine="562" w:firstLineChars="200"/>
        <w:rPr>
          <w:rFonts w:ascii="仿宋" w:hAnsi="仿宋" w:eastAsia="仿宋" w:cs="仿宋"/>
          <w:b/>
        </w:rPr>
      </w:pPr>
      <w:r>
        <w:rPr>
          <w:rFonts w:hint="eastAsia" w:ascii="仿宋" w:hAnsi="仿宋" w:eastAsia="仿宋" w:cs="仿宋"/>
          <w:b/>
          <w:sz w:val="28"/>
          <w:szCs w:val="32"/>
        </w:rPr>
        <w:t>一、项目概况</w:t>
      </w:r>
    </w:p>
    <w:p w14:paraId="720B0F15">
      <w:pPr>
        <w:tabs>
          <w:tab w:val="left" w:pos="7665"/>
        </w:tabs>
        <w:spacing w:line="4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为保障学校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医院医疗工作的正常开展，提升医疗服务能力及水平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满足师生日益增长的医疗需求</w:t>
      </w:r>
      <w:r>
        <w:rPr>
          <w:rFonts w:hint="eastAsia" w:ascii="仿宋" w:hAnsi="仿宋" w:eastAsia="仿宋" w:cs="仿宋"/>
          <w:sz w:val="30"/>
          <w:szCs w:val="30"/>
        </w:rPr>
        <w:t>，计划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130</w:t>
      </w:r>
      <w:r>
        <w:rPr>
          <w:rFonts w:hint="eastAsia" w:ascii="仿宋" w:hAnsi="仿宋" w:eastAsia="仿宋" w:cs="仿宋"/>
          <w:sz w:val="30"/>
          <w:szCs w:val="30"/>
        </w:rPr>
        <w:t>万元资金用于采购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医疗专用设备</w:t>
      </w:r>
      <w:r>
        <w:rPr>
          <w:rFonts w:ascii="仿宋" w:hAnsi="仿宋" w:eastAsia="仿宋" w:cs="仿宋"/>
          <w:sz w:val="30"/>
          <w:szCs w:val="30"/>
        </w:rPr>
        <w:t>。</w:t>
      </w:r>
    </w:p>
    <w:p w14:paraId="1C591B6E">
      <w:pPr>
        <w:spacing w:line="360" w:lineRule="auto"/>
        <w:ind w:firstLine="562" w:firstLineChars="200"/>
        <w:rPr>
          <w:rFonts w:ascii="仿宋" w:hAnsi="仿宋" w:eastAsia="仿宋" w:cs="仿宋"/>
          <w:b/>
          <w:sz w:val="28"/>
          <w:szCs w:val="32"/>
        </w:rPr>
      </w:pPr>
      <w:r>
        <w:rPr>
          <w:rFonts w:hint="eastAsia" w:ascii="仿宋" w:hAnsi="仿宋" w:eastAsia="仿宋" w:cs="仿宋"/>
          <w:b/>
          <w:sz w:val="28"/>
          <w:szCs w:val="32"/>
        </w:rPr>
        <w:t>二、投标供应商的资格要求</w:t>
      </w:r>
    </w:p>
    <w:p w14:paraId="0EACB1A0">
      <w:pPr>
        <w:pStyle w:val="24"/>
        <w:spacing w:line="4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1、具有独立承担民事责任的能力；</w:t>
      </w:r>
    </w:p>
    <w:p w14:paraId="61810EE4">
      <w:pPr>
        <w:tabs>
          <w:tab w:val="left" w:pos="7665"/>
        </w:tabs>
        <w:spacing w:line="4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2、具有良好的商业信誉和健全的财务会计制度；</w:t>
      </w:r>
    </w:p>
    <w:p w14:paraId="0F4E1B02">
      <w:pPr>
        <w:tabs>
          <w:tab w:val="left" w:pos="7665"/>
        </w:tabs>
        <w:spacing w:line="4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3、具有履行合同所必需的设备和专业技术能力；</w:t>
      </w:r>
    </w:p>
    <w:p w14:paraId="4F210018">
      <w:pPr>
        <w:tabs>
          <w:tab w:val="left" w:pos="7665"/>
        </w:tabs>
        <w:spacing w:line="4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4、具有依法缴纳税收和社会保障资金的良好记录；</w:t>
      </w:r>
    </w:p>
    <w:p w14:paraId="3C1BC66F">
      <w:pPr>
        <w:tabs>
          <w:tab w:val="left" w:pos="7665"/>
        </w:tabs>
        <w:spacing w:line="4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5、参加本次采购活动前三年内，在经营活动中没有重大违法记录。</w:t>
      </w:r>
    </w:p>
    <w:p w14:paraId="4C4DF65A">
      <w:pPr>
        <w:tabs>
          <w:tab w:val="left" w:pos="7665"/>
        </w:tabs>
        <w:spacing w:line="4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6、符合法律、行政法规规定的其他条件。</w:t>
      </w:r>
    </w:p>
    <w:p w14:paraId="2EBCCB11">
      <w:pPr>
        <w:tabs>
          <w:tab w:val="left" w:pos="7665"/>
        </w:tabs>
        <w:spacing w:line="4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7、本项目不接受联合体投标。</w:t>
      </w:r>
    </w:p>
    <w:p w14:paraId="39F77459">
      <w:pPr>
        <w:tabs>
          <w:tab w:val="left" w:pos="7665"/>
        </w:tabs>
        <w:spacing w:line="4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8、投标人单位及其现任法定代表人/主要负责人不得具有行贿犯罪记录。</w:t>
      </w:r>
    </w:p>
    <w:p w14:paraId="32086FFF">
      <w:pPr>
        <w:tabs>
          <w:tab w:val="left" w:pos="7665"/>
        </w:tabs>
        <w:spacing w:line="400" w:lineRule="exact"/>
        <w:ind w:firstLine="600" w:firstLineChars="200"/>
        <w:rPr>
          <w:rFonts w:hAnsi="宋体" w:cs="宋体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注：由采购人或采购代理机构在资格审查时在《信用中国》网站（www.creditchina.gov.cn）、 《中国政府采购网》网站（www.ccgp.gov.cn）等渠道对供应商进行信用记录查询，并将查询记录存档。凡被列入失信被执行人、重大税收违法案件当事人名单、政府采购严重违法失信行为记录名单的，视为存在不良信用记录，其投标无效。</w:t>
      </w:r>
    </w:p>
    <w:p w14:paraId="2DE4BECF">
      <w:pPr>
        <w:spacing w:line="360" w:lineRule="auto"/>
        <w:ind w:firstLine="600" w:firstLineChars="200"/>
        <w:rPr>
          <w:rFonts w:ascii="仿宋" w:hAnsi="仿宋" w:eastAsia="仿宋" w:cs="仿宋"/>
          <w:b/>
          <w:sz w:val="28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10、其他资格要求：无。</w:t>
      </w:r>
    </w:p>
    <w:p w14:paraId="088B7F5C">
      <w:pPr>
        <w:spacing w:line="360" w:lineRule="auto"/>
        <w:ind w:firstLine="422" w:firstLineChars="200"/>
        <w:rPr>
          <w:rFonts w:ascii="仿宋" w:hAnsi="仿宋" w:eastAsia="仿宋" w:cs="仿宋"/>
          <w:b/>
        </w:rPr>
      </w:pPr>
    </w:p>
    <w:p w14:paraId="0EBEB523">
      <w:pPr>
        <w:spacing w:line="360" w:lineRule="auto"/>
        <w:ind w:firstLine="422" w:firstLineChars="200"/>
        <w:rPr>
          <w:rFonts w:ascii="仿宋" w:hAnsi="仿宋" w:eastAsia="仿宋" w:cs="仿宋"/>
          <w:b/>
        </w:rPr>
      </w:pPr>
    </w:p>
    <w:p w14:paraId="7688A029">
      <w:pPr>
        <w:spacing w:line="360" w:lineRule="auto"/>
        <w:ind w:firstLine="422" w:firstLineChars="200"/>
        <w:rPr>
          <w:rFonts w:ascii="仿宋" w:hAnsi="仿宋" w:eastAsia="仿宋" w:cs="仿宋"/>
          <w:b/>
        </w:rPr>
      </w:pPr>
    </w:p>
    <w:p w14:paraId="2E3D1F22">
      <w:pPr>
        <w:spacing w:line="360" w:lineRule="auto"/>
        <w:ind w:firstLine="422" w:firstLineChars="200"/>
        <w:rPr>
          <w:rFonts w:ascii="仿宋" w:hAnsi="仿宋" w:eastAsia="仿宋" w:cs="仿宋"/>
          <w:b/>
        </w:rPr>
      </w:pPr>
    </w:p>
    <w:p w14:paraId="59DF0E35">
      <w:pPr>
        <w:spacing w:line="360" w:lineRule="auto"/>
        <w:ind w:firstLine="422" w:firstLineChars="200"/>
        <w:rPr>
          <w:rFonts w:ascii="仿宋" w:hAnsi="仿宋" w:eastAsia="仿宋" w:cs="仿宋"/>
          <w:b/>
        </w:rPr>
      </w:pPr>
    </w:p>
    <w:p w14:paraId="48887889">
      <w:pPr>
        <w:spacing w:line="360" w:lineRule="auto"/>
        <w:ind w:firstLine="281" w:firstLineChars="100"/>
        <w:rPr>
          <w:rFonts w:ascii="仿宋" w:hAnsi="仿宋" w:eastAsia="仿宋" w:cs="仿宋"/>
          <w:b/>
          <w:sz w:val="28"/>
          <w:szCs w:val="32"/>
        </w:rPr>
      </w:pPr>
    </w:p>
    <w:p w14:paraId="29D34D0B">
      <w:pPr>
        <w:spacing w:line="360" w:lineRule="auto"/>
        <w:ind w:firstLine="281" w:firstLineChars="100"/>
        <w:rPr>
          <w:rFonts w:ascii="仿宋" w:hAnsi="仿宋" w:eastAsia="仿宋" w:cs="仿宋"/>
          <w:b/>
          <w:sz w:val="28"/>
          <w:szCs w:val="32"/>
        </w:rPr>
      </w:pPr>
      <w:r>
        <w:rPr>
          <w:rFonts w:hint="eastAsia" w:ascii="仿宋" w:hAnsi="仿宋" w:eastAsia="仿宋" w:cs="仿宋"/>
          <w:b/>
          <w:sz w:val="28"/>
          <w:szCs w:val="32"/>
        </w:rPr>
        <w:t>三、主要技术要求与标准</w:t>
      </w:r>
    </w:p>
    <w:p w14:paraId="421787F3">
      <w:pPr>
        <w:pStyle w:val="2"/>
        <w:spacing w:beforeLines="50" w:afterLines="50"/>
        <w:ind w:firstLine="422"/>
        <w:rPr>
          <w:rFonts w:ascii="仿宋" w:hAnsi="仿宋" w:eastAsia="仿宋" w:cs="仿宋"/>
          <w:b/>
        </w:rPr>
      </w:pPr>
      <w:r>
        <w:rPr>
          <w:rFonts w:hint="eastAsia" w:ascii="仿宋" w:hAnsi="仿宋" w:eastAsia="仿宋" w:cs="仿宋"/>
          <w:b/>
          <w:lang w:val="en-US" w:eastAsia="zh-CN"/>
        </w:rPr>
        <w:t>医疗专用设备</w:t>
      </w:r>
      <w:r>
        <w:rPr>
          <w:rFonts w:hint="eastAsia" w:ascii="仿宋" w:hAnsi="仿宋" w:eastAsia="仿宋" w:cs="仿宋"/>
          <w:b/>
        </w:rPr>
        <w:t>采购清单</w:t>
      </w:r>
    </w:p>
    <w:tbl>
      <w:tblPr>
        <w:tblStyle w:val="22"/>
        <w:tblW w:w="8398" w:type="dxa"/>
        <w:tblInd w:w="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2772"/>
        <w:gridCol w:w="2346"/>
        <w:gridCol w:w="2236"/>
      </w:tblGrid>
      <w:tr w14:paraId="3E1963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044" w:type="dxa"/>
            <w:vAlign w:val="center"/>
          </w:tcPr>
          <w:p w14:paraId="7A6A5AFD">
            <w:pPr>
              <w:pStyle w:val="23"/>
              <w:spacing w:before="78" w:line="221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4"/>
                <w:sz w:val="18"/>
                <w:szCs w:val="18"/>
              </w:rPr>
              <w:t>序号</w:t>
            </w:r>
          </w:p>
        </w:tc>
        <w:tc>
          <w:tcPr>
            <w:tcW w:w="2772" w:type="dxa"/>
            <w:vAlign w:val="center"/>
          </w:tcPr>
          <w:p w14:paraId="462F0366">
            <w:pPr>
              <w:pStyle w:val="23"/>
              <w:spacing w:before="176" w:line="223" w:lineRule="auto"/>
              <w:ind w:right="8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2"/>
                <w:sz w:val="18"/>
                <w:szCs w:val="18"/>
              </w:rPr>
              <w:t>物资名</w:t>
            </w:r>
            <w:r>
              <w:rPr>
                <w:rFonts w:hint="eastAsia"/>
                <w:b/>
                <w:bCs/>
                <w:sz w:val="18"/>
                <w:szCs w:val="18"/>
              </w:rPr>
              <w:t>称</w:t>
            </w:r>
          </w:p>
        </w:tc>
        <w:tc>
          <w:tcPr>
            <w:tcW w:w="2346" w:type="dxa"/>
            <w:vAlign w:val="center"/>
          </w:tcPr>
          <w:p w14:paraId="36C37641">
            <w:pPr>
              <w:pStyle w:val="23"/>
              <w:spacing w:before="78" w:line="219" w:lineRule="auto"/>
              <w:jc w:val="center"/>
              <w:rPr>
                <w:rFonts w:hint="eastAsia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pacing w:val="-2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2236" w:type="dxa"/>
            <w:vAlign w:val="center"/>
          </w:tcPr>
          <w:p w14:paraId="64D28A16">
            <w:pPr>
              <w:pStyle w:val="23"/>
              <w:spacing w:before="78" w:line="219" w:lineRule="auto"/>
              <w:jc w:val="center"/>
              <w:rPr>
                <w:rFonts w:hint="eastAsia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spacing w:val="-4"/>
                <w:sz w:val="18"/>
                <w:szCs w:val="18"/>
                <w:lang w:val="en-US" w:eastAsia="zh-CN"/>
              </w:rPr>
              <w:t>数量</w:t>
            </w:r>
          </w:p>
        </w:tc>
      </w:tr>
      <w:tr w14:paraId="3FD4F7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044" w:type="dxa"/>
          </w:tcPr>
          <w:p w14:paraId="5CC307F3">
            <w:pPr>
              <w:pStyle w:val="23"/>
              <w:ind w:left="326"/>
              <w:rPr>
                <w:sz w:val="16"/>
                <w:szCs w:val="16"/>
              </w:rPr>
            </w:pPr>
            <w:r>
              <w:rPr>
                <w:rFonts w:hint="eastAsia"/>
                <w:position w:val="-2"/>
                <w:sz w:val="16"/>
                <w:szCs w:val="16"/>
              </w:rPr>
              <w:t>1</w:t>
            </w:r>
          </w:p>
        </w:tc>
        <w:tc>
          <w:tcPr>
            <w:tcW w:w="2772" w:type="dxa"/>
          </w:tcPr>
          <w:p w14:paraId="1E3F10E6">
            <w:pPr>
              <w:pStyle w:val="23"/>
              <w:jc w:val="center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口腔CBCT</w:t>
            </w:r>
          </w:p>
        </w:tc>
        <w:tc>
          <w:tcPr>
            <w:tcW w:w="2346" w:type="dxa"/>
          </w:tcPr>
          <w:p w14:paraId="04544E1A">
            <w:pPr>
              <w:pStyle w:val="23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/>
                <w:spacing w:val="-1"/>
                <w:sz w:val="16"/>
                <w:szCs w:val="16"/>
                <w:lang w:val="en-US" w:eastAsia="zh-CN"/>
              </w:rPr>
              <w:t>台</w:t>
            </w:r>
          </w:p>
        </w:tc>
        <w:tc>
          <w:tcPr>
            <w:tcW w:w="2236" w:type="dxa"/>
          </w:tcPr>
          <w:p w14:paraId="11578663">
            <w:pPr>
              <w:pStyle w:val="23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/>
                <w:spacing w:val="-3"/>
                <w:position w:val="-2"/>
                <w:sz w:val="16"/>
                <w:szCs w:val="16"/>
                <w:lang w:val="en-US" w:eastAsia="zh-CN"/>
              </w:rPr>
              <w:t>1</w:t>
            </w:r>
          </w:p>
        </w:tc>
      </w:tr>
      <w:tr w14:paraId="77C790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044" w:type="dxa"/>
          </w:tcPr>
          <w:p w14:paraId="36F3303E">
            <w:pPr>
              <w:pStyle w:val="23"/>
              <w:ind w:left="312"/>
              <w:rPr>
                <w:sz w:val="16"/>
                <w:szCs w:val="16"/>
              </w:rPr>
            </w:pPr>
            <w:r>
              <w:rPr>
                <w:rFonts w:hint="eastAsia"/>
                <w:position w:val="-2"/>
                <w:sz w:val="16"/>
                <w:szCs w:val="16"/>
              </w:rPr>
              <w:t>2</w:t>
            </w:r>
          </w:p>
        </w:tc>
        <w:tc>
          <w:tcPr>
            <w:tcW w:w="2772" w:type="dxa"/>
          </w:tcPr>
          <w:p w14:paraId="0110D11D">
            <w:pPr>
              <w:pStyle w:val="23"/>
              <w:jc w:val="center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冲击波治疗仪</w:t>
            </w:r>
          </w:p>
        </w:tc>
        <w:tc>
          <w:tcPr>
            <w:tcW w:w="2346" w:type="dxa"/>
          </w:tcPr>
          <w:p w14:paraId="2C108545">
            <w:pPr>
              <w:pStyle w:val="2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  <w:lang w:val="en-US" w:eastAsia="zh-CN"/>
              </w:rPr>
              <w:t>台</w:t>
            </w:r>
          </w:p>
        </w:tc>
        <w:tc>
          <w:tcPr>
            <w:tcW w:w="2236" w:type="dxa"/>
          </w:tcPr>
          <w:p w14:paraId="23FA42D6">
            <w:pPr>
              <w:pStyle w:val="23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/>
                <w:spacing w:val="-3"/>
                <w:position w:val="-2"/>
                <w:sz w:val="16"/>
                <w:szCs w:val="16"/>
                <w:lang w:val="en-US" w:eastAsia="zh-CN"/>
              </w:rPr>
              <w:t>1</w:t>
            </w:r>
          </w:p>
        </w:tc>
      </w:tr>
      <w:tr w14:paraId="72108E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044" w:type="dxa"/>
          </w:tcPr>
          <w:p w14:paraId="752E4364">
            <w:pPr>
              <w:pStyle w:val="23"/>
              <w:ind w:left="314"/>
              <w:rPr>
                <w:sz w:val="16"/>
                <w:szCs w:val="16"/>
              </w:rPr>
            </w:pPr>
            <w:r>
              <w:rPr>
                <w:rFonts w:hint="eastAsia"/>
                <w:position w:val="-2"/>
                <w:sz w:val="16"/>
                <w:szCs w:val="16"/>
              </w:rPr>
              <w:t>3</w:t>
            </w:r>
          </w:p>
        </w:tc>
        <w:tc>
          <w:tcPr>
            <w:tcW w:w="2772" w:type="dxa"/>
          </w:tcPr>
          <w:p w14:paraId="3ED42D45">
            <w:pPr>
              <w:pStyle w:val="23"/>
              <w:jc w:val="center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 xml:space="preserve"> 眼表综合分析仪</w:t>
            </w:r>
          </w:p>
        </w:tc>
        <w:tc>
          <w:tcPr>
            <w:tcW w:w="2346" w:type="dxa"/>
          </w:tcPr>
          <w:p w14:paraId="50736B29">
            <w:pPr>
              <w:pStyle w:val="2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  <w:lang w:val="en-US" w:eastAsia="zh-CN"/>
              </w:rPr>
              <w:t>台</w:t>
            </w:r>
          </w:p>
        </w:tc>
        <w:tc>
          <w:tcPr>
            <w:tcW w:w="2236" w:type="dxa"/>
          </w:tcPr>
          <w:p w14:paraId="2DB717B5">
            <w:pPr>
              <w:pStyle w:val="23"/>
              <w:jc w:val="center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1</w:t>
            </w:r>
          </w:p>
        </w:tc>
      </w:tr>
      <w:tr w14:paraId="59A87D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044" w:type="dxa"/>
          </w:tcPr>
          <w:p w14:paraId="6B204866">
            <w:pPr>
              <w:pStyle w:val="23"/>
              <w:ind w:left="309"/>
              <w:rPr>
                <w:sz w:val="16"/>
                <w:szCs w:val="16"/>
              </w:rPr>
            </w:pPr>
            <w:r>
              <w:rPr>
                <w:rFonts w:hint="eastAsia"/>
                <w:position w:val="-2"/>
                <w:sz w:val="16"/>
                <w:szCs w:val="16"/>
              </w:rPr>
              <w:t>4</w:t>
            </w:r>
          </w:p>
        </w:tc>
        <w:tc>
          <w:tcPr>
            <w:tcW w:w="2772" w:type="dxa"/>
          </w:tcPr>
          <w:p w14:paraId="1D073BE4">
            <w:pPr>
              <w:pStyle w:val="23"/>
              <w:jc w:val="center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 xml:space="preserve">  加热式超声雾化器</w:t>
            </w: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+制氧机</w:t>
            </w:r>
          </w:p>
        </w:tc>
        <w:tc>
          <w:tcPr>
            <w:tcW w:w="2346" w:type="dxa"/>
          </w:tcPr>
          <w:p w14:paraId="14FB63A6">
            <w:pPr>
              <w:pStyle w:val="23"/>
              <w:jc w:val="center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套</w:t>
            </w:r>
          </w:p>
        </w:tc>
        <w:tc>
          <w:tcPr>
            <w:tcW w:w="2236" w:type="dxa"/>
          </w:tcPr>
          <w:p w14:paraId="354C9A8C">
            <w:pPr>
              <w:pStyle w:val="23"/>
              <w:jc w:val="center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1</w:t>
            </w:r>
          </w:p>
        </w:tc>
      </w:tr>
      <w:tr w14:paraId="444CB6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44" w:type="dxa"/>
          </w:tcPr>
          <w:p w14:paraId="0D196DB8">
            <w:pPr>
              <w:pStyle w:val="23"/>
              <w:ind w:left="314"/>
              <w:rPr>
                <w:sz w:val="16"/>
                <w:szCs w:val="16"/>
              </w:rPr>
            </w:pPr>
            <w:r>
              <w:rPr>
                <w:rFonts w:hint="eastAsia"/>
                <w:position w:val="-2"/>
                <w:sz w:val="16"/>
                <w:szCs w:val="16"/>
              </w:rPr>
              <w:t>5</w:t>
            </w:r>
          </w:p>
        </w:tc>
        <w:tc>
          <w:tcPr>
            <w:tcW w:w="2772" w:type="dxa"/>
          </w:tcPr>
          <w:p w14:paraId="26B5D49A">
            <w:pPr>
              <w:pStyle w:val="23"/>
              <w:jc w:val="center"/>
              <w:rPr>
                <w:rFonts w:hint="default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超声骨刀</w:t>
            </w:r>
          </w:p>
        </w:tc>
        <w:tc>
          <w:tcPr>
            <w:tcW w:w="2346" w:type="dxa"/>
          </w:tcPr>
          <w:p w14:paraId="5CC8C121">
            <w:pPr>
              <w:pStyle w:val="2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  <w:lang w:val="en-US" w:eastAsia="zh-CN"/>
              </w:rPr>
              <w:t>台</w:t>
            </w:r>
          </w:p>
        </w:tc>
        <w:tc>
          <w:tcPr>
            <w:tcW w:w="2236" w:type="dxa"/>
          </w:tcPr>
          <w:p w14:paraId="6DE9161A">
            <w:pPr>
              <w:pStyle w:val="23"/>
              <w:jc w:val="center"/>
              <w:rPr>
                <w:rFonts w:hint="eastAsia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1</w:t>
            </w:r>
          </w:p>
        </w:tc>
      </w:tr>
    </w:tbl>
    <w:p w14:paraId="193986A7">
      <w:pPr>
        <w:spacing w:beforeLines="0" w:afterLines="0" w:line="360" w:lineRule="auto"/>
        <w:ind w:firstLine="422" w:firstLineChars="200"/>
        <w:rPr>
          <w:rFonts w:hint="eastAsia" w:ascii="仿宋" w:hAnsi="仿宋" w:eastAsia="仿宋" w:cs="仿宋"/>
          <w:b/>
          <w:sz w:val="21"/>
          <w:szCs w:val="22"/>
        </w:rPr>
      </w:pPr>
    </w:p>
    <w:p w14:paraId="0DC1AEC8">
      <w:pPr>
        <w:spacing w:beforeLines="0" w:afterLines="0" w:line="360" w:lineRule="auto"/>
        <w:ind w:firstLine="422" w:firstLineChars="200"/>
        <w:rPr>
          <w:rFonts w:hint="eastAsia" w:ascii="仿宋" w:hAnsi="仿宋" w:eastAsia="仿宋" w:cs="仿宋"/>
          <w:b/>
          <w:sz w:val="21"/>
          <w:szCs w:val="22"/>
        </w:rPr>
      </w:pPr>
      <w:r>
        <w:rPr>
          <w:rFonts w:hint="eastAsia" w:ascii="仿宋" w:hAnsi="仿宋" w:eastAsia="仿宋" w:cs="仿宋"/>
          <w:b/>
          <w:sz w:val="21"/>
          <w:szCs w:val="22"/>
        </w:rPr>
        <w:t>主要技术参数：</w:t>
      </w:r>
    </w:p>
    <w:tbl>
      <w:tblPr>
        <w:tblStyle w:val="9"/>
        <w:tblW w:w="843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31"/>
        <w:gridCol w:w="5994"/>
      </w:tblGrid>
      <w:tr w14:paraId="2A6E9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253B44F">
            <w:pPr>
              <w:adjustRightInd w:val="0"/>
              <w:snapToGrid w:val="0"/>
              <w:spacing w:beforeLines="0" w:afterLines="0"/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48564B3">
            <w:pPr>
              <w:adjustRightInd w:val="0"/>
              <w:snapToGrid w:val="0"/>
              <w:spacing w:beforeLines="0" w:afterLines="0"/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品目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0D785F9">
            <w:pPr>
              <w:adjustRightInd w:val="0"/>
              <w:snapToGrid w:val="0"/>
              <w:spacing w:beforeLines="0" w:afterLines="0"/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0"/>
                <w:szCs w:val="20"/>
              </w:rPr>
              <w:t>技术参数与性能指标</w:t>
            </w:r>
          </w:p>
        </w:tc>
      </w:tr>
      <w:tr w14:paraId="4EDFA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F26317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8E81EC">
            <w:pPr>
              <w:adjustRightInd w:val="0"/>
              <w:snapToGrid w:val="0"/>
              <w:spacing w:beforeLines="0" w:afterLines="0"/>
              <w:jc w:val="center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口腔CBCT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B9006A2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ab/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设备供电</w:t>
            </w:r>
          </w:p>
          <w:p w14:paraId="7FBB321C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电压：100-240V ±10%</w:t>
            </w:r>
          </w:p>
          <w:p w14:paraId="3A430025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高压频率≥380KHz</w:t>
            </w:r>
          </w:p>
          <w:p w14:paraId="4579E310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ab/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X线球管</w:t>
            </w:r>
          </w:p>
          <w:p w14:paraId="460B467F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.1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ab/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球管类型高频直流 固定阳极</w:t>
            </w:r>
          </w:p>
          <w:p w14:paraId="6BD36476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  <w:t>▲2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.2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ab/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球管电压60-99kVp每1kVp可调</w:t>
            </w:r>
          </w:p>
          <w:p w14:paraId="39662537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.3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ab/>
            </w:r>
            <w:r>
              <w:rPr>
                <w:rStyle w:val="13"/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球管电流2-12mA</w:t>
            </w:r>
          </w:p>
          <w:p w14:paraId="5505E4C3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3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ab/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球管焦点大小0.5mm且符合IEC60336-1993标准</w:t>
            </w:r>
          </w:p>
          <w:p w14:paraId="3040A352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4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ab/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影像探测器</w:t>
            </w:r>
          </w:p>
          <w:p w14:paraId="745750C2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4.1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ab/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影像探测器数量共计2个</w:t>
            </w:r>
          </w:p>
          <w:p w14:paraId="747FF617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4.2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ab/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探测器类型CMOS高速平板</w:t>
            </w:r>
          </w:p>
          <w:p w14:paraId="0F5AC7C2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4.3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ab/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 xml:space="preserve">探测器体素 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  <w:t>≤</w:t>
            </w:r>
            <w:r>
              <w:rPr>
                <w:rStyle w:val="13"/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lang w:bidi="ar"/>
              </w:rPr>
              <w:t>80μm</w:t>
            </w:r>
          </w:p>
          <w:p w14:paraId="23BA3281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4.4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ab/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探测器切换方式：自动切换，无需手动插拔</w:t>
            </w:r>
          </w:p>
          <w:p w14:paraId="3CFD0EF7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4.5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ab/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探测器固定方式：内置固定，不可拆卸</w:t>
            </w:r>
          </w:p>
          <w:p w14:paraId="0466C8E6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5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ab/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全景功能</w:t>
            </w:r>
          </w:p>
          <w:p w14:paraId="40E38C1E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5.1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ab/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标准全景模式</w:t>
            </w:r>
          </w:p>
          <w:p w14:paraId="2BD2EEE8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5.2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ab/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全景优化模式</w:t>
            </w:r>
          </w:p>
          <w:p w14:paraId="661A22D0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5.3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ab/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分区全景模式</w:t>
            </w:r>
          </w:p>
          <w:p w14:paraId="00B287D5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5.4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ab/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咬翼片模式</w:t>
            </w:r>
          </w:p>
          <w:p w14:paraId="6D3BACC3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5.5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ab/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双侧TMJ开闭口位模式</w:t>
            </w:r>
          </w:p>
          <w:p w14:paraId="6FF0985E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5.6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ab/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上颌窦正位</w:t>
            </w:r>
          </w:p>
          <w:p w14:paraId="25B5EBEF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5.7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ab/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扫描时间</w:t>
            </w:r>
            <w:r>
              <w:rPr>
                <w:rStyle w:val="13"/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≤14</w:t>
            </w:r>
            <w:r>
              <w:rPr>
                <w:rStyle w:val="13"/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bidi="ar"/>
              </w:rPr>
              <w:t>秒</w:t>
            </w:r>
          </w:p>
          <w:p w14:paraId="14DA0CD3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  <w:t>▲</w:t>
            </w:r>
            <w:r>
              <w:rPr>
                <w:rStyle w:val="13"/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lang w:bidi="ar"/>
              </w:rPr>
              <w:t>5.8</w:t>
            </w:r>
            <w:r>
              <w:rPr>
                <w:rStyle w:val="13"/>
                <w:rFonts w:hint="eastAsia" w:ascii="仿宋" w:hAnsi="仿宋" w:eastAsia="仿宋" w:cs="仿宋"/>
                <w:b w:val="0"/>
                <w:color w:val="FF0000"/>
                <w:sz w:val="21"/>
                <w:szCs w:val="21"/>
                <w:lang w:bidi="ar"/>
              </w:rPr>
              <w:tab/>
            </w:r>
            <w:r>
              <w:rPr>
                <w:rStyle w:val="13"/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全景具有彩色骨密度查看模式，具有不少于5不同着色模式</w:t>
            </w:r>
          </w:p>
          <w:p w14:paraId="256DA2CC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6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ab/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头颅定位功能</w:t>
            </w:r>
          </w:p>
          <w:p w14:paraId="7FB8E181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6.1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ab/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具有标准头颅及全头颅拍摄</w:t>
            </w:r>
          </w:p>
          <w:p w14:paraId="2EDEB77C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6.2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ab/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头颅正位</w:t>
            </w:r>
          </w:p>
          <w:p w14:paraId="51F82604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6.3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ab/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颅底位</w:t>
            </w:r>
          </w:p>
          <w:p w14:paraId="105CECC9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6.4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ab/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华氏位</w:t>
            </w:r>
          </w:p>
          <w:p w14:paraId="61E6CBCA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  <w:t>▲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6.5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ab/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头颅扫描时间：≦1.9秒（标准头颅）、≦5.4秒（全头颅）</w:t>
            </w:r>
          </w:p>
          <w:p w14:paraId="455DACDE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7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ab/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CT功能</w:t>
            </w:r>
          </w:p>
          <w:p w14:paraId="17D004CF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  <w:t>▲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7.1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ab/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扫描时间 ≦5秒</w:t>
            </w:r>
          </w:p>
          <w:p w14:paraId="3EB65061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7.2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ab/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获取影像：三维影像和全景效果影像</w:t>
            </w:r>
          </w:p>
          <w:p w14:paraId="666DCB08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7.3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ab/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投照模式：360度扫描成像</w:t>
            </w:r>
          </w:p>
          <w:p w14:paraId="25666ECC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  <w:t>▲</w:t>
            </w:r>
            <w:r>
              <w:rPr>
                <w:rStyle w:val="13"/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bidi="ar"/>
              </w:rPr>
              <w:t>7.4</w:t>
            </w:r>
            <w:r>
              <w:rPr>
                <w:rStyle w:val="13"/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bidi="ar"/>
              </w:rPr>
              <w:tab/>
            </w:r>
            <w:r>
              <w:rPr>
                <w:rStyle w:val="13"/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bidi="ar"/>
              </w:rPr>
              <w:t>成像范围（直径cm x 高度cm）</w:t>
            </w:r>
          </w:p>
          <w:p w14:paraId="75738E84">
            <w:pPr>
              <w:adjustRightInd w:val="0"/>
              <w:snapToGrid w:val="0"/>
              <w:spacing w:beforeLines="0" w:afterLines="0"/>
              <w:rPr>
                <w:rStyle w:val="13"/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bidi="ar"/>
              </w:rPr>
              <w:t>多视野成像</w:t>
            </w:r>
            <w:r>
              <w:rPr>
                <w:rStyle w:val="13"/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eastAsia="zh-CN" w:bidi="ar"/>
              </w:rPr>
              <w:t>，</w:t>
            </w:r>
            <w:r>
              <w:rPr>
                <w:rStyle w:val="13"/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水平视野≥16cm，垂直视野≥14cm</w:t>
            </w:r>
          </w:p>
          <w:p w14:paraId="7F608727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7.5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ab/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CT体素尺寸0.08mm</w:t>
            </w:r>
          </w:p>
          <w:p w14:paraId="07A5C0B5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7.6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ab/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可变CT影像分辨率</w:t>
            </w:r>
          </w:p>
          <w:p w14:paraId="04D5F9DE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7.7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ab/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CT文件格式：符合DICOM3.0标准</w:t>
            </w:r>
          </w:p>
          <w:p w14:paraId="49C39852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7.8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ab/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具有金属伪影处理功能</w:t>
            </w:r>
          </w:p>
          <w:p w14:paraId="30E1B09D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7.9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ab/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具有预曝光定位</w:t>
            </w:r>
          </w:p>
          <w:p w14:paraId="252CCFB6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7.10辅助定位：具有电动调节耳夹及激光定位线</w:t>
            </w:r>
          </w:p>
          <w:p w14:paraId="103FD9C7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ab/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患者定位</w:t>
            </w:r>
          </w:p>
          <w:p w14:paraId="22D25973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  <w:t>▲8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.1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ab/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患者定位方式为开放式面对面定位</w:t>
            </w:r>
          </w:p>
          <w:p w14:paraId="2B53C72C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.2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ab/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具有患者扶手</w:t>
            </w:r>
          </w:p>
          <w:p w14:paraId="7BE00BC7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.3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ab/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自动语音提示中文</w:t>
            </w:r>
          </w:p>
          <w:p w14:paraId="242DE2AF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  <w:t>9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ab/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 xml:space="preserve"> 设备控制</w:t>
            </w:r>
          </w:p>
          <w:p w14:paraId="7B9D2DB8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yellow"/>
                <w:lang w:val="en-US" w:eastAsia="zh-CN"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9</w:t>
            </w:r>
            <w:r>
              <w:rPr>
                <w:rStyle w:val="13"/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bidi="ar"/>
              </w:rPr>
              <w:t>.1操控面板，</w:t>
            </w:r>
            <w:r>
              <w:rPr>
                <w:rStyle w:val="13"/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移动触控屏</w:t>
            </w:r>
          </w:p>
          <w:p w14:paraId="657DEC6D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  <w:t>9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.2电动伸缩式立柱</w:t>
            </w:r>
          </w:p>
          <w:p w14:paraId="028C990C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  <w:t>9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.3数据传输方式，光纤传输</w:t>
            </w:r>
          </w:p>
          <w:p w14:paraId="44981DD0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  <w:t>9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.4设备工作操作方式，全电脑图形操作界面</w:t>
            </w:r>
          </w:p>
          <w:p w14:paraId="59FDF4BE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1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ab/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 xml:space="preserve"> 软件功能</w:t>
            </w:r>
          </w:p>
          <w:p w14:paraId="609422D0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1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.1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2D软件功能</w:t>
            </w:r>
          </w:p>
          <w:p w14:paraId="211063E6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基本功能：图像放大、缩小；亮度、对比度调节；标记、画线、距离测量；骨密度测量、种植模拟等。</w:t>
            </w:r>
          </w:p>
          <w:p w14:paraId="2E175094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  <w:t>▲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1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.2  具有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  <w:t>低剂量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技术，可有效缩短曝光时间</w:t>
            </w:r>
          </w:p>
          <w:p w14:paraId="7751FD5F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1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.3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3D软件功能</w:t>
            </w:r>
          </w:p>
          <w:p w14:paraId="022ABC30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MPR多平面重建；坐标轴旋转、移动；序列断层重建；曲面断层重建；自动及手动重建曲线；自动及手动神经管标记；种植模拟；自定义种植体；多种三维重建模式；三维成像范围调节；数据输出、刻盘、格式转换。网络版软件。</w:t>
            </w:r>
          </w:p>
          <w:p w14:paraId="2F535DB7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bidi="ar"/>
              </w:rPr>
              <w:t>1</w:t>
            </w:r>
            <w:r>
              <w:rPr>
                <w:rStyle w:val="13"/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0</w:t>
            </w:r>
            <w:r>
              <w:rPr>
                <w:rStyle w:val="13"/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bidi="ar"/>
              </w:rPr>
              <w:t>.4</w:t>
            </w:r>
            <w:r>
              <w:rPr>
                <w:rStyle w:val="13"/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Style w:val="13"/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bidi="ar"/>
              </w:rPr>
              <w:t>专业正畸软件</w:t>
            </w:r>
          </w:p>
          <w:p w14:paraId="0111A82C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正畸分析软件，可进行辅助描点画线功能，可生成不同正畸分析法的正畸报告，可对比治疗前后及治疗过程的面型变化。</w:t>
            </w:r>
          </w:p>
          <w:p w14:paraId="215351D2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13"/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lang w:val="en-US" w:eastAsia="zh-CN" w:bidi="ar"/>
              </w:rPr>
              <w:t>0</w:t>
            </w:r>
            <w:r>
              <w:rPr>
                <w:rStyle w:val="13"/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lang w:bidi="ar"/>
              </w:rPr>
              <w:t>.5</w:t>
            </w:r>
            <w:r>
              <w:rPr>
                <w:rStyle w:val="13"/>
                <w:rFonts w:hint="eastAsia" w:ascii="仿宋" w:hAnsi="仿宋" w:eastAsia="仿宋" w:cs="仿宋"/>
                <w:b/>
                <w:bCs w:val="0"/>
                <w:color w:val="0000FF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Style w:val="13"/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CBCT诊断软件具备术前术后对比功能，方便医患沟通</w:t>
            </w:r>
          </w:p>
          <w:p w14:paraId="40022981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1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.6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气道分析功能，用于有效的气道诊断</w:t>
            </w:r>
          </w:p>
          <w:p w14:paraId="01E916C8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  <w:t>▲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1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.7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容积测量功能，用于上颌窦内提升，精确容积量</w:t>
            </w:r>
          </w:p>
        </w:tc>
      </w:tr>
      <w:tr w14:paraId="5C963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14C205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0B1265">
            <w:pPr>
              <w:adjustRightInd w:val="0"/>
              <w:snapToGrid w:val="0"/>
              <w:spacing w:beforeLines="0" w:afterLines="0"/>
              <w:jc w:val="center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冲击波治疗仪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AE8E017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  <w:t xml:space="preserve">1  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设备主机同时具有按压键和旋转键两种操作方式，操作直观简便。</w:t>
            </w:r>
          </w:p>
          <w:p w14:paraId="09F05DF4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  <w:t xml:space="preserve">2  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设备具备多聚焦能量发射功能，可配备经过正规注册可用于临床使用的多聚焦治疗头。</w:t>
            </w:r>
          </w:p>
          <w:p w14:paraId="0340704D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3  配置多个型号扳机治疗头；</w:t>
            </w:r>
          </w:p>
          <w:p w14:paraId="7DD185E6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  <w:t>▲</w:t>
            </w:r>
            <w:r>
              <w:rPr>
                <w:rStyle w:val="13"/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4  手柄治疗头可伸缩，对治疗过程中反作用力缓冲左右，减轻医务操作人员操作不适感；</w:t>
            </w:r>
          </w:p>
          <w:p w14:paraId="01560EDB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  <w:t xml:space="preserve">5  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设备可自动测试识别所连接的配件。</w:t>
            </w:r>
          </w:p>
          <w:p w14:paraId="62E3F81B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  <w:t xml:space="preserve">6  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气压弹道式放射状冲击波：治疗安全。</w:t>
            </w:r>
          </w:p>
          <w:p w14:paraId="3F28910B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  <w:t xml:space="preserve">7  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最大治疗能量≥4bar ，数控调节精度可每0.5bar调节,最大治疗频率≥15Hz，数控调节精度可每1Hz调节。</w:t>
            </w:r>
          </w:p>
          <w:p w14:paraId="14A1061B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  <w:t xml:space="preserve">8  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治疗仪能够显示工作压力设定值，设定值与实际值误差不超过±5%。（提供检测报告）</w:t>
            </w:r>
          </w:p>
          <w:p w14:paraId="0348B730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shd w:val="clear" w:color="auto" w:fill="auto"/>
                <w:lang w:eastAsia="zh-CN"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  <w:t xml:space="preserve">9 </w:t>
            </w:r>
            <w:r>
              <w:rPr>
                <w:rStyle w:val="13"/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shd w:val="clear" w:color="auto" w:fill="auto"/>
                <w:lang w:val="en-US" w:eastAsia="zh-CN" w:bidi="ar"/>
              </w:rPr>
              <w:t xml:space="preserve">  </w:t>
            </w:r>
            <w:r>
              <w:rPr>
                <w:rStyle w:val="13"/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shd w:val="clear" w:color="auto" w:fill="auto"/>
                <w:lang w:bidi="ar"/>
              </w:rPr>
              <w:t>控制手柄具有防滑装置和内置减震系统</w:t>
            </w:r>
            <w:r>
              <w:rPr>
                <w:rStyle w:val="13"/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shd w:val="clear" w:color="auto" w:fill="auto"/>
                <w:lang w:eastAsia="zh-CN" w:bidi="ar"/>
              </w:rPr>
              <w:t>。</w:t>
            </w:r>
          </w:p>
          <w:p w14:paraId="07AD59B9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  <w:t xml:space="preserve">10  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为保证治疗过程的安全性，控制手柄带有按钮，治疗过程中可通过治疗枪按钮随时停止或启动治疗。</w:t>
            </w:r>
          </w:p>
          <w:p w14:paraId="23A2870C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  <w:t xml:space="preserve">11  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冲击波子弹体使用寿命至少保证180万次冲击波。</w:t>
            </w:r>
          </w:p>
          <w:p w14:paraId="29F29A0D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  <w:t xml:space="preserve">12  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内置治疗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  <w:t>不少于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7种临床常用处方模式，预置的频率、波数和强度可以修改并保存，并具有单独的手动调节模式。</w:t>
            </w:r>
          </w:p>
          <w:p w14:paraId="3657ACB0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  <w:t xml:space="preserve">13  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治疗过程中实时显示治疗参数，监控整个过程。</w:t>
            </w:r>
          </w:p>
          <w:p w14:paraId="2F578B3B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1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  <w:t xml:space="preserve">4  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设备可通过LED 灯柱实时显示治疗过程中强度变化。</w:t>
            </w:r>
          </w:p>
          <w:p w14:paraId="4EFFB708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eastAsia="zh-CN"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1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  <w:t xml:space="preserve">5  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冲击波数量的设置范围：0-9999次，通过SELECT旋钮步进为100，通过按压键调节的冲击波数按键步进为500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eastAsia="zh-CN" w:bidi="ar"/>
              </w:rPr>
              <w:t>。</w:t>
            </w:r>
          </w:p>
          <w:p w14:paraId="65035B78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  <w:t>▲</w:t>
            </w:r>
            <w:r>
              <w:rPr>
                <w:rStyle w:val="13"/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16</w:t>
            </w:r>
            <w:r>
              <w:rPr>
                <w:rStyle w:val="13"/>
                <w:rFonts w:ascii="仿宋" w:hAnsi="仿宋" w:eastAsia="仿宋" w:cs="仿宋"/>
                <w:b w:val="0"/>
                <w:bCs/>
                <w:color w:val="FF0000"/>
                <w:sz w:val="21"/>
                <w:szCs w:val="21"/>
                <w:lang w:bidi="ar"/>
              </w:rPr>
              <w:t xml:space="preserve"> </w:t>
            </w:r>
            <w:r>
              <w:rPr>
                <w:rStyle w:val="13"/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26"/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主机内置压缩机。压缩机为非油性，静音空气压缩机。</w:t>
            </w:r>
          </w:p>
          <w:p w14:paraId="76F115DB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eastAsia="zh-CN"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  <w:t>▲</w:t>
            </w:r>
            <w:r>
              <w:rPr>
                <w:rStyle w:val="13"/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lang w:val="en-US" w:eastAsia="zh-CN" w:bidi="ar"/>
              </w:rPr>
              <w:t>17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为避免设备质量及稳定性不佳的问题，整机（含主机、压缩机、控制手柄、冲击波子弹体</w:t>
            </w:r>
            <w:bookmarkStart w:id="0" w:name="_GoBack"/>
            <w:bookmarkEnd w:id="0"/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等）需由同一品牌生产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eastAsia="zh-CN" w:bidi="ar"/>
              </w:rPr>
              <w:t>。</w:t>
            </w:r>
          </w:p>
          <w:p w14:paraId="7DA23619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eastAsia="zh-CN"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  <w:t>▲</w:t>
            </w:r>
            <w:r>
              <w:rPr>
                <w:rStyle w:val="13"/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18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13"/>
                <w:rFonts w:ascii="仿宋" w:hAnsi="仿宋" w:eastAsia="仿宋" w:cs="仿宋"/>
                <w:b/>
                <w:bCs w:val="0"/>
                <w:color w:val="0000FF"/>
                <w:sz w:val="21"/>
                <w:szCs w:val="21"/>
                <w:lang w:bidi="ar"/>
              </w:rPr>
              <w:t xml:space="preserve"> </w:t>
            </w:r>
            <w:r>
              <w:rPr>
                <w:rStyle w:val="13"/>
                <w:rFonts w:ascii="仿宋" w:hAnsi="仿宋" w:eastAsia="仿宋" w:cs="仿宋"/>
                <w:b w:val="0"/>
                <w:bCs/>
                <w:color w:val="auto"/>
                <w:sz w:val="21"/>
                <w:szCs w:val="21"/>
                <w:lang w:bidi="ar"/>
              </w:rPr>
              <w:t>设备使用有效期</w:t>
            </w:r>
            <w:r>
              <w:rPr>
                <w:rStyle w:val="13"/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≥7</w:t>
            </w:r>
            <w:r>
              <w:rPr>
                <w:rStyle w:val="13"/>
                <w:rFonts w:ascii="仿宋" w:hAnsi="仿宋" w:eastAsia="仿宋" w:cs="仿宋"/>
                <w:b w:val="0"/>
                <w:bCs/>
                <w:color w:val="auto"/>
                <w:sz w:val="21"/>
                <w:szCs w:val="21"/>
                <w:lang w:bidi="ar"/>
              </w:rPr>
              <w:t>年。</w:t>
            </w:r>
          </w:p>
        </w:tc>
      </w:tr>
      <w:tr w14:paraId="6C56D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56D0D6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6B33C0">
            <w:pPr>
              <w:adjustRightInd w:val="0"/>
              <w:snapToGrid w:val="0"/>
              <w:spacing w:beforeLines="0" w:afterLines="0"/>
              <w:jc w:val="center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 xml:space="preserve"> 眼表综合分析仪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2346F5B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  <w:t xml:space="preserve">1、光学体：  </w:t>
            </w:r>
          </w:p>
          <w:p w14:paraId="36C655C6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  <w:t>1.1显微镜类型及倍率：上光源平行夹角式（伽利略型）；目镜：12.5X，显微镜总倍率：6X/10X/16X/25X/40X</w:t>
            </w:r>
          </w:p>
          <w:p w14:paraId="6371AF0A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  <w:t>1.2 改变倍率形式：机械转鼓式（非数码放大）</w:t>
            </w:r>
          </w:p>
          <w:p w14:paraId="5E832A6F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/>
                <w:bCs w:val="0"/>
                <w:color w:val="0000FF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1.3 ：屈光度调节：-8D ~+8D</w:t>
            </w:r>
          </w:p>
          <w:p w14:paraId="1EEBA794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  <w:t>2、照明系统</w:t>
            </w:r>
          </w:p>
          <w:p w14:paraId="0B9C2A28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  <w:t>2.1 裂隙调光：无级调光</w:t>
            </w:r>
          </w:p>
          <w:p w14:paraId="33F96330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  <w:t>2.2 裂隙高度（mm）：0 ～ 14连续可调</w:t>
            </w:r>
          </w:p>
          <w:p w14:paraId="421BE6C1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  <w:t>2.3 裂隙宽度（mm）：1 ～ 14连续可调</w:t>
            </w:r>
          </w:p>
          <w:p w14:paraId="27A41F13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  <w:t>2.4 裂隙角度：0 °~180°可旋转</w:t>
            </w:r>
          </w:p>
          <w:p w14:paraId="58AA4AA7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  <w:t>2.5 裂隙倾角：5°、10°、15°、20°</w:t>
            </w:r>
          </w:p>
          <w:p w14:paraId="7420D71F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lang w:val="en-US" w:eastAsia="zh-CN" w:bidi="ar"/>
              </w:rPr>
              <w:t xml:space="preserve">2.6 光斑直径：φ0.2--φ14（mm） </w:t>
            </w:r>
          </w:p>
          <w:p w14:paraId="42C66575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color w:val="auto"/>
                <w:sz w:val="21"/>
                <w:szCs w:val="21"/>
                <w:lang w:val="en-US" w:eastAsia="zh-CN" w:bidi="ar"/>
              </w:rPr>
              <w:t>2.7 滤色片：隔热片、减光片、无赤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  <w:t>片、钴蓝片</w:t>
            </w:r>
          </w:p>
          <w:p w14:paraId="4F96D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Style w:val="13"/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  <w:t>▲</w:t>
            </w:r>
            <w:r>
              <w:rPr>
                <w:rStyle w:val="13"/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2.8 照明灯泡：卤素灯</w:t>
            </w:r>
          </w:p>
          <w:p w14:paraId="181F13A8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  <w:t>3、数码采集系统</w:t>
            </w:r>
          </w:p>
          <w:p w14:paraId="0143CEC2"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  <w:t>▲</w:t>
            </w:r>
            <w:r>
              <w:rPr>
                <w:rStyle w:val="13"/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3.1 照片分辨率≥2592*1944</w:t>
            </w:r>
          </w:p>
          <w:p w14:paraId="34FE9D90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/>
                <w:bCs w:val="0"/>
                <w:color w:val="0000FF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  <w:t>▲3.2</w:t>
            </w:r>
            <w:r>
              <w:rPr>
                <w:rStyle w:val="13"/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红外光源传感器，自动曝光，自动增益，光圈可调，五种白平衡模式，高灵敏度，可开关宽动态范围</w:t>
            </w:r>
          </w:p>
          <w:p w14:paraId="2952B6E4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  <w:t>二、功能应用</w:t>
            </w:r>
          </w:p>
          <w:p w14:paraId="18A694E9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  <w:t xml:space="preserve">1、干眼项目：非侵入式泪河高度测量、非侵入泪膜破裂时间测量、脂质层形态分析、睑板腺照相、睑缘照相、眼红分析           </w:t>
            </w:r>
          </w:p>
          <w:p w14:paraId="7AC0C3F9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  <w:t xml:space="preserve">2、眼前节检查：可对干眼并发症与眼前节作全面检查，具备图像、视频模式。  </w:t>
            </w:r>
          </w:p>
          <w:p w14:paraId="6896FB08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3、干眼检查综合报告：自动分析各项指标结果，协助医生快速、有效的进行干眼诊断，制定个性化治疗方案。</w:t>
            </w:r>
          </w:p>
        </w:tc>
      </w:tr>
      <w:tr w14:paraId="21598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5C516E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325F0B">
            <w:pPr>
              <w:adjustRightInd w:val="0"/>
              <w:snapToGrid w:val="0"/>
              <w:spacing w:beforeLines="0" w:afterLines="0"/>
              <w:jc w:val="center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 xml:space="preserve"> 加热式超声雾化器</w:t>
            </w: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+制氧机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6FEE735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加热式超声雾化器WH-Ⅶ 技术参数</w:t>
            </w:r>
          </w:p>
          <w:p w14:paraId="204138D5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1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语音播报功能：全程语音播报；</w:t>
            </w:r>
          </w:p>
          <w:p w14:paraId="7DACE87D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2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参数记忆功能：设置参数后自动记忆，下次无需调试；</w:t>
            </w:r>
          </w:p>
          <w:p w14:paraId="6DC12B74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3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模式切换：常温雾化、加热雾化及薰蒸模式自由切换；</w:t>
            </w:r>
          </w:p>
          <w:p w14:paraId="34E0FE94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4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雾化杯容量：0-140ML；</w:t>
            </w:r>
          </w:p>
          <w:p w14:paraId="6F4F3010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  <w:t>▲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5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温度设置及控制范围：30~43℃（可调节）；</w:t>
            </w:r>
          </w:p>
          <w:p w14:paraId="5C36D6EF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  <w:t xml:space="preserve">▲6  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温度检测方式：管路出雾口检测温度，保证出雾温度与实际显示温度相同；</w:t>
            </w:r>
          </w:p>
          <w:p w14:paraId="53B0374F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  <w:t xml:space="preserve">7  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整机噪声：≤50dB（A）（距离主机1m）；</w:t>
            </w:r>
          </w:p>
          <w:p w14:paraId="7527717C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  <w:t xml:space="preserve">8  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主机超声工作频率：2.4MHz±10% 。</w:t>
            </w:r>
          </w:p>
          <w:p w14:paraId="4B715CBB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eastAsia="zh-CN"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  <w:t xml:space="preserve">9  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雾粒中位直径：4μm，直径小于5μm的雾粒百分比大于65%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eastAsia="zh-CN" w:bidi="ar"/>
              </w:rPr>
              <w:t>；</w:t>
            </w:r>
          </w:p>
          <w:p w14:paraId="32A7402C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1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  <w:t xml:space="preserve">0  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 最大雾化率：≥1ml/min；</w:t>
            </w:r>
          </w:p>
          <w:p w14:paraId="37FC323D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  <w:t>11  雾化水槽：雾化水槽与主机分体式设计，方便清洁、消毒及更换雾化水槽</w:t>
            </w:r>
          </w:p>
          <w:p w14:paraId="4D1AB017">
            <w:pPr>
              <w:adjustRightInd w:val="0"/>
              <w:snapToGrid w:val="0"/>
              <w:spacing w:beforeLines="0" w:afterLines="0"/>
              <w:rPr>
                <w:rStyle w:val="13"/>
                <w:rFonts w:hint="default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  <w:t>12  参数调节方式：触摸液晶屏调节参数。</w:t>
            </w:r>
          </w:p>
          <w:p w14:paraId="69490949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  <w:t>13  水位线标记：有最低水位刻度线、最高水位刻度线、推荐水位刻度线、提示水位刻度线。</w:t>
            </w:r>
          </w:p>
          <w:p w14:paraId="28102488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</w:pPr>
          </w:p>
          <w:p w14:paraId="26AD4F17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制氧机主要技术指标</w:t>
            </w:r>
          </w:p>
          <w:p w14:paraId="4F4BCD80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  <w:t>1  最大推荐流量:3L/Min；</w:t>
            </w:r>
          </w:p>
          <w:p w14:paraId="77BEC856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  <w:t>2  出氧压力:40kpa-60kpa；</w:t>
            </w:r>
          </w:p>
          <w:p w14:paraId="5E8B3F42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  <w:t>3  氧气浓度：93%±3%；</w:t>
            </w:r>
          </w:p>
          <w:p w14:paraId="0438B9B7">
            <w:pPr>
              <w:adjustRightInd w:val="0"/>
              <w:snapToGrid w:val="0"/>
              <w:spacing w:beforeLines="0" w:afterLines="0"/>
              <w:rPr>
                <w:rStyle w:val="13"/>
                <w:rFonts w:hint="default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  <w:t>4  流量调节：1-3L/min内连续可调；</w:t>
            </w:r>
          </w:p>
          <w:p w14:paraId="03333C7D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  <w:t>5  压缩机安全阀释放压力：250kpa±50kpa ；</w:t>
            </w:r>
          </w:p>
          <w:p w14:paraId="0FE1E8AE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  <w:t>6  整机噪声: ≤60dB(A)；</w:t>
            </w:r>
          </w:p>
          <w:p w14:paraId="0EC2E353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  <w:t>7  电源电压: ~220v 50HZ ；</w:t>
            </w:r>
          </w:p>
          <w:p w14:paraId="2C8E6025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  <w:t>8  输入功率: ≤300VA；</w:t>
            </w:r>
          </w:p>
          <w:p w14:paraId="604992A3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  <w:t xml:space="preserve">         </w:t>
            </w:r>
          </w:p>
        </w:tc>
      </w:tr>
      <w:tr w14:paraId="30C40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1934D6"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19CB88">
            <w:pPr>
              <w:adjustRightInd w:val="0"/>
              <w:snapToGrid w:val="0"/>
              <w:spacing w:beforeLines="0" w:afterLines="0"/>
              <w:jc w:val="center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</w:pPr>
            <w:r>
              <w:rPr>
                <w:rFonts w:hint="eastAsia"/>
                <w:spacing w:val="-2"/>
                <w:sz w:val="16"/>
                <w:szCs w:val="16"/>
                <w:lang w:val="en-US" w:eastAsia="zh-CN"/>
              </w:rPr>
              <w:t>超声骨刀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F141B94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1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 xml:space="preserve"> 电源电压：100V-240Vac 50HZ/60HZ</w:t>
            </w:r>
          </w:p>
          <w:p w14:paraId="3C492104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2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 xml:space="preserve"> 输入功率：120VA</w:t>
            </w:r>
          </w:p>
          <w:p w14:paraId="1AB56AFF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3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 xml:space="preserve"> 工作尖尖端主振幅(纵向振幅):20~200um</w:t>
            </w:r>
          </w:p>
          <w:p w14:paraId="7D801A72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4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 xml:space="preserve"> 工作尖尖端横向振幅：≤20um</w:t>
            </w:r>
          </w:p>
          <w:p w14:paraId="04B44CE4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bidi="ar"/>
              </w:rPr>
              <w:t>5</w:t>
            </w:r>
            <w:r>
              <w:rPr>
                <w:rStyle w:val="13"/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13"/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bidi="ar"/>
              </w:rPr>
              <w:t xml:space="preserve"> </w:t>
            </w:r>
            <w:r>
              <w:rPr>
                <w:rStyle w:val="13"/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工作尖振动频率：24-36KHz</w:t>
            </w:r>
          </w:p>
          <w:p w14:paraId="010F73E2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bidi="ar"/>
              </w:rPr>
              <w:t>6</w:t>
            </w:r>
            <w:r>
              <w:rPr>
                <w:rStyle w:val="13"/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13"/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bidi="ar"/>
              </w:rPr>
              <w:t xml:space="preserve"> </w:t>
            </w:r>
            <w:r>
              <w:rPr>
                <w:rStyle w:val="13"/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蠕动泵流量：45-110ml/min</w:t>
            </w:r>
          </w:p>
          <w:p w14:paraId="4713F6AA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bidi="ar"/>
              </w:rPr>
              <w:t>7</w:t>
            </w:r>
            <w:r>
              <w:rPr>
                <w:rStyle w:val="13"/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13"/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bidi="ar"/>
              </w:rPr>
              <w:t xml:space="preserve"> </w:t>
            </w:r>
            <w:r>
              <w:rPr>
                <w:rStyle w:val="13"/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导出的输出声功率：200-500mW</w:t>
            </w:r>
          </w:p>
          <w:p w14:paraId="3F6BEE3D">
            <w:pPr>
              <w:adjustRightInd w:val="0"/>
              <w:snapToGrid w:val="0"/>
              <w:spacing w:beforeLines="0" w:afterLines="0"/>
              <w:rPr>
                <w:rStyle w:val="13"/>
                <w:rFonts w:hint="default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bidi="ar"/>
              </w:rPr>
              <w:t>8</w:t>
            </w:r>
            <w:r>
              <w:rPr>
                <w:rStyle w:val="13"/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 xml:space="preserve">  主声输出面积：&lt;10mm²</w:t>
            </w:r>
          </w:p>
          <w:p w14:paraId="5735CF89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9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次级横振声输出面积：&lt;20mm²</w:t>
            </w:r>
          </w:p>
          <w:p w14:paraId="77135D94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10 保险丝：2×T1.6AL   250V</w:t>
            </w:r>
          </w:p>
        </w:tc>
      </w:tr>
    </w:tbl>
    <w:p w14:paraId="0B334DF4">
      <w:pPr>
        <w:spacing w:line="360" w:lineRule="auto"/>
        <w:ind w:firstLine="422" w:firstLineChars="200"/>
        <w:rPr>
          <w:rFonts w:hint="eastAsia" w:ascii="仿宋" w:hAnsi="仿宋" w:eastAsia="仿宋" w:cs="仿宋"/>
          <w:b/>
        </w:rPr>
      </w:pPr>
    </w:p>
    <w:p w14:paraId="59DF29F5">
      <w:pPr>
        <w:spacing w:line="360" w:lineRule="auto"/>
        <w:ind w:firstLine="422" w:firstLineChars="200"/>
        <w:rPr>
          <w:rFonts w:hint="eastAsia" w:ascii="仿宋" w:hAnsi="仿宋" w:eastAsia="仿宋" w:cs="仿宋"/>
          <w:b/>
        </w:rPr>
      </w:pPr>
    </w:p>
    <w:p w14:paraId="4960846C">
      <w:pPr>
        <w:spacing w:line="360" w:lineRule="auto"/>
        <w:ind w:firstLine="422" w:firstLineChars="200"/>
        <w:rPr>
          <w:rFonts w:hint="eastAsia" w:ascii="仿宋" w:hAnsi="仿宋" w:eastAsia="仿宋" w:cs="仿宋"/>
          <w:b/>
        </w:rPr>
      </w:pPr>
    </w:p>
    <w:p w14:paraId="75D4E1D6">
      <w:pPr>
        <w:spacing w:line="360" w:lineRule="auto"/>
        <w:ind w:firstLine="422" w:firstLineChars="200"/>
        <w:rPr>
          <w:rFonts w:ascii="仿宋" w:hAnsi="仿宋" w:eastAsia="仿宋" w:cs="仿宋"/>
          <w:b/>
        </w:rPr>
      </w:pPr>
      <w:r>
        <w:rPr>
          <w:rFonts w:hint="eastAsia" w:ascii="仿宋" w:hAnsi="仿宋" w:eastAsia="仿宋" w:cs="仿宋"/>
          <w:b/>
        </w:rPr>
        <w:t>四、主要商务要求</w:t>
      </w:r>
    </w:p>
    <w:tbl>
      <w:tblPr>
        <w:tblStyle w:val="9"/>
        <w:tblpPr w:leftFromText="180" w:rightFromText="180" w:vertAnchor="text" w:horzAnchor="page" w:tblpX="1906" w:tblpY="29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6625"/>
      </w:tblGrid>
      <w:tr w14:paraId="3BDDB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07FD38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服务期限</w:t>
            </w:r>
          </w:p>
        </w:tc>
        <w:tc>
          <w:tcPr>
            <w:tcW w:w="6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66E418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以合同约定为准</w:t>
            </w:r>
          </w:p>
        </w:tc>
      </w:tr>
      <w:tr w14:paraId="702CD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6FEA7A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标的提供地点</w:t>
            </w:r>
          </w:p>
        </w:tc>
        <w:tc>
          <w:tcPr>
            <w:tcW w:w="6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44FD7D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eastAsia="zh-CN"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西华大学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  <w:t>医院</w:t>
            </w:r>
          </w:p>
        </w:tc>
      </w:tr>
      <w:tr w14:paraId="44E07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00CFE7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付款方式</w:t>
            </w:r>
          </w:p>
        </w:tc>
        <w:tc>
          <w:tcPr>
            <w:tcW w:w="6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F1A4380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 xml:space="preserve">合同签订后支付合同金额的 20%，验收合格后支付合同金 </w:t>
            </w:r>
          </w:p>
          <w:p w14:paraId="7CD2B0E5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额 80%，同时需要开具相应增值税发票。</w:t>
            </w:r>
          </w:p>
        </w:tc>
      </w:tr>
      <w:tr w14:paraId="77584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0992D0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验收要求</w:t>
            </w:r>
          </w:p>
        </w:tc>
        <w:tc>
          <w:tcPr>
            <w:tcW w:w="6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E070EB8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1.验收地点及时间：由采购人指定。</w:t>
            </w:r>
          </w:p>
          <w:p w14:paraId="1F5380AB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2.验收时，双方必须同时在场，中标人所提供的产品不符合合同内容规定的，采购人有权拒绝验收。中标人应及时按本合同内容规定和采购人要求免费进行整改，直至验收合格，方视为中标人按本合同规定完成服务。验收合格的，由双方共同签署《验收报告》。</w:t>
            </w:r>
          </w:p>
        </w:tc>
      </w:tr>
      <w:tr w14:paraId="12B48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59E9A3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其他</w:t>
            </w:r>
          </w:p>
        </w:tc>
        <w:tc>
          <w:tcPr>
            <w:tcW w:w="6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E5ED58E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服务要求:</w:t>
            </w:r>
          </w:p>
          <w:p w14:paraId="361C0EE3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 xml:space="preserve">1.中标人须开通5×8小时热线电话及7×24小时客服人员电话，接受采购人的电话技术咨询和故障反馈。中标人应在48小时内提供现场服务。 </w:t>
            </w:r>
          </w:p>
          <w:p w14:paraId="7B775A51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2.中标人必须提供培训服务：培训内容包括系统使用培训。</w:t>
            </w:r>
          </w:p>
          <w:p w14:paraId="1DAEA090">
            <w:pPr>
              <w:adjustRightInd w:val="0"/>
              <w:snapToGrid w:val="0"/>
              <w:spacing w:beforeLines="0" w:afterLines="0"/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3.售后服务：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val="en-US" w:eastAsia="zh-CN" w:bidi="ar"/>
              </w:rPr>
              <w:t>不少于2</w:t>
            </w:r>
            <w:r>
              <w:rPr>
                <w:rStyle w:val="13"/>
                <w:rFonts w:hint="eastAsia" w:ascii="仿宋" w:hAnsi="仿宋" w:eastAsia="仿宋" w:cs="仿宋"/>
                <w:b w:val="0"/>
                <w:sz w:val="21"/>
                <w:szCs w:val="21"/>
                <w:lang w:bidi="ar"/>
              </w:rPr>
              <w:t>年。质保期内，中标人应对设备进行免费维护。</w:t>
            </w:r>
          </w:p>
        </w:tc>
      </w:tr>
    </w:tbl>
    <w:p w14:paraId="67CA82E9">
      <w:pPr>
        <w:spacing w:line="360" w:lineRule="auto"/>
        <w:ind w:firstLine="422" w:firstLineChars="200"/>
        <w:rPr>
          <w:rFonts w:hint="eastAsia" w:ascii="仿宋" w:hAnsi="仿宋" w:eastAsia="仿宋" w:cs="仿宋"/>
          <w:b/>
        </w:rPr>
      </w:pPr>
    </w:p>
    <w:p w14:paraId="380628C7">
      <w:pPr>
        <w:spacing w:line="360" w:lineRule="auto"/>
        <w:ind w:firstLine="422" w:firstLineChars="200"/>
        <w:rPr>
          <w:rFonts w:ascii="仿宋" w:hAnsi="仿宋" w:eastAsia="仿宋" w:cs="仿宋"/>
          <w:b/>
        </w:rPr>
      </w:pPr>
      <w:r>
        <w:rPr>
          <w:rFonts w:hint="eastAsia" w:ascii="仿宋" w:hAnsi="仿宋" w:eastAsia="仿宋" w:cs="仿宋"/>
          <w:b/>
        </w:rPr>
        <w:t>五、评审方法及分值</w:t>
      </w:r>
    </w:p>
    <w:p w14:paraId="78CE4376">
      <w:pPr>
        <w:spacing w:line="360" w:lineRule="auto"/>
        <w:ind w:firstLine="422" w:firstLineChars="200"/>
        <w:rPr>
          <w:rFonts w:ascii="仿宋" w:hAnsi="仿宋" w:eastAsia="仿宋" w:cs="仿宋"/>
          <w:b/>
        </w:rPr>
      </w:pPr>
      <w:r>
        <w:rPr>
          <w:rFonts w:hint="eastAsia" w:ascii="仿宋" w:hAnsi="仿宋" w:eastAsia="仿宋" w:cs="仿宋"/>
          <w:b/>
        </w:rPr>
        <w:t>评审方法：综合评分法</w:t>
      </w:r>
    </w:p>
    <w:tbl>
      <w:tblPr>
        <w:tblStyle w:val="9"/>
        <w:tblW w:w="64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2901"/>
        <w:gridCol w:w="1470"/>
        <w:gridCol w:w="1299"/>
      </w:tblGrid>
      <w:tr w14:paraId="6C9FB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8FB3E8">
            <w:pPr>
              <w:pStyle w:val="3"/>
              <w:adjustRightInd w:val="0"/>
              <w:snapToGrid w:val="0"/>
              <w:spacing w:beforeLines="0" w:after="0" w:afterLines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9B73AD">
            <w:pPr>
              <w:pStyle w:val="3"/>
              <w:adjustRightInd w:val="0"/>
              <w:snapToGrid w:val="0"/>
              <w:spacing w:beforeLines="0" w:after="0" w:afterLine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评分因素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EDA25A">
            <w:pPr>
              <w:pStyle w:val="3"/>
              <w:adjustRightInd w:val="0"/>
              <w:snapToGrid w:val="0"/>
              <w:spacing w:beforeLines="0" w:after="0" w:afterLines="0"/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分值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DE08A1"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备注</w:t>
            </w:r>
          </w:p>
        </w:tc>
      </w:tr>
      <w:tr w14:paraId="7AE65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8130A1">
            <w:pPr>
              <w:pStyle w:val="3"/>
              <w:adjustRightInd w:val="0"/>
              <w:snapToGrid w:val="0"/>
              <w:spacing w:beforeLines="0" w:after="0" w:afterLine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91F224">
            <w:pPr>
              <w:pStyle w:val="3"/>
              <w:adjustRightInd w:val="0"/>
              <w:snapToGrid w:val="0"/>
              <w:spacing w:beforeLines="0" w:after="0" w:afterLine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报价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%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9FEADE">
            <w:pPr>
              <w:pStyle w:val="3"/>
              <w:adjustRightInd w:val="0"/>
              <w:snapToGrid w:val="0"/>
              <w:spacing w:beforeLines="0" w:after="0" w:afterLine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分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9299F8"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共同评分因素</w:t>
            </w:r>
          </w:p>
        </w:tc>
      </w:tr>
      <w:tr w14:paraId="34DE3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D0BFC0">
            <w:pPr>
              <w:pStyle w:val="3"/>
              <w:adjustRightInd w:val="0"/>
              <w:snapToGrid w:val="0"/>
              <w:spacing w:beforeLines="0" w:after="0" w:afterLine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BDCAD2">
            <w:pPr>
              <w:pStyle w:val="3"/>
              <w:adjustRightInd w:val="0"/>
              <w:snapToGrid w:val="0"/>
              <w:spacing w:beforeLines="0" w:after="0" w:afterLine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技术指标和配置40%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D243B5">
            <w:pPr>
              <w:pStyle w:val="3"/>
              <w:adjustRightInd w:val="0"/>
              <w:snapToGrid w:val="0"/>
              <w:spacing w:beforeLines="0" w:after="0" w:afterLine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40分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52D3D1"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技术评分因素</w:t>
            </w:r>
          </w:p>
        </w:tc>
      </w:tr>
      <w:tr w14:paraId="204A9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4C9733">
            <w:pPr>
              <w:pStyle w:val="3"/>
              <w:adjustRightInd w:val="0"/>
              <w:snapToGrid w:val="0"/>
              <w:spacing w:beforeLines="0" w:after="0" w:afterLine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A0CF51">
            <w:pPr>
              <w:pStyle w:val="3"/>
              <w:adjustRightInd w:val="0"/>
              <w:snapToGrid w:val="0"/>
              <w:spacing w:beforeLines="0" w:after="0" w:afterLine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服务方案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%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B54BB2">
            <w:pPr>
              <w:pStyle w:val="3"/>
              <w:adjustRightInd w:val="0"/>
              <w:snapToGrid w:val="0"/>
              <w:spacing w:beforeLines="0" w:after="0" w:afterLine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分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087A69"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技术评分因素</w:t>
            </w:r>
          </w:p>
        </w:tc>
      </w:tr>
      <w:tr w14:paraId="405C5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8581DB">
            <w:pPr>
              <w:pStyle w:val="3"/>
              <w:adjustRightInd w:val="0"/>
              <w:snapToGrid w:val="0"/>
              <w:spacing w:beforeLines="0" w:after="0" w:afterLine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4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B23AB6">
            <w:pPr>
              <w:pStyle w:val="3"/>
              <w:adjustRightInd w:val="0"/>
              <w:snapToGrid w:val="0"/>
              <w:spacing w:beforeLines="0" w:after="0" w:afterLine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售后服务保障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%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1BE5EB">
            <w:pPr>
              <w:pStyle w:val="3"/>
              <w:adjustRightInd w:val="0"/>
              <w:snapToGrid w:val="0"/>
              <w:spacing w:beforeLines="0" w:after="0" w:afterLine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分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A909CD"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技术评分因素</w:t>
            </w:r>
          </w:p>
        </w:tc>
      </w:tr>
      <w:tr w14:paraId="13150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F1C3EF">
            <w:pPr>
              <w:pStyle w:val="3"/>
              <w:adjustRightInd w:val="0"/>
              <w:snapToGrid w:val="0"/>
              <w:spacing w:beforeLines="0" w:after="0" w:afterLine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5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FF9AD6">
            <w:pPr>
              <w:pStyle w:val="3"/>
              <w:adjustRightInd w:val="0"/>
              <w:snapToGrid w:val="0"/>
              <w:spacing w:beforeLines="0" w:after="0" w:afterLine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履约能力5%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1E5EAF">
            <w:pPr>
              <w:pStyle w:val="3"/>
              <w:adjustRightInd w:val="0"/>
              <w:snapToGrid w:val="0"/>
              <w:spacing w:beforeLines="0" w:after="0" w:afterLine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5分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630924">
            <w:pPr>
              <w:widowControl/>
              <w:adjustRightInd w:val="0"/>
              <w:snapToGrid w:val="0"/>
              <w:spacing w:beforeLines="0" w:afterLines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技术评分因素</w:t>
            </w:r>
          </w:p>
        </w:tc>
      </w:tr>
    </w:tbl>
    <w:p w14:paraId="59EAF23E">
      <w:pPr>
        <w:spacing w:line="360" w:lineRule="auto"/>
        <w:ind w:firstLine="422" w:firstLineChars="200"/>
        <w:rPr>
          <w:rFonts w:ascii="仿宋" w:hAnsi="仿宋" w:eastAsia="仿宋" w:cs="仿宋"/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yMDI3NWQ4Mzk5ODM4NTlmNGVjZjdiYmEyMDE5NDYifQ=="/>
    <w:docVar w:name="KSO_WPS_MARK_KEY" w:val="bb25c515-73d4-4925-a44d-b44e2a96dafb"/>
  </w:docVars>
  <w:rsids>
    <w:rsidRoot w:val="00172A27"/>
    <w:rsid w:val="00172A27"/>
    <w:rsid w:val="001919F3"/>
    <w:rsid w:val="00220833"/>
    <w:rsid w:val="003E4A0C"/>
    <w:rsid w:val="00447D67"/>
    <w:rsid w:val="004C3BCB"/>
    <w:rsid w:val="004E00CB"/>
    <w:rsid w:val="004E65CD"/>
    <w:rsid w:val="00507E2D"/>
    <w:rsid w:val="00555235"/>
    <w:rsid w:val="006E62A9"/>
    <w:rsid w:val="007778CB"/>
    <w:rsid w:val="00895A15"/>
    <w:rsid w:val="0096136F"/>
    <w:rsid w:val="00A452BD"/>
    <w:rsid w:val="00A8198E"/>
    <w:rsid w:val="00B048A4"/>
    <w:rsid w:val="00BC0995"/>
    <w:rsid w:val="00E450DB"/>
    <w:rsid w:val="00F56B1E"/>
    <w:rsid w:val="00FB4AF0"/>
    <w:rsid w:val="00FC3B8B"/>
    <w:rsid w:val="00FF5838"/>
    <w:rsid w:val="00FF594A"/>
    <w:rsid w:val="019127B6"/>
    <w:rsid w:val="020923AA"/>
    <w:rsid w:val="03722B8F"/>
    <w:rsid w:val="049F6AAE"/>
    <w:rsid w:val="060F1487"/>
    <w:rsid w:val="06EE2FEE"/>
    <w:rsid w:val="08952045"/>
    <w:rsid w:val="089A2A3A"/>
    <w:rsid w:val="0A03446D"/>
    <w:rsid w:val="0A152083"/>
    <w:rsid w:val="0B662F05"/>
    <w:rsid w:val="0BBC55DC"/>
    <w:rsid w:val="0C5F127B"/>
    <w:rsid w:val="0CE50401"/>
    <w:rsid w:val="0D9972DB"/>
    <w:rsid w:val="10755181"/>
    <w:rsid w:val="10861954"/>
    <w:rsid w:val="10AE3DA1"/>
    <w:rsid w:val="10B71B0D"/>
    <w:rsid w:val="10D836EB"/>
    <w:rsid w:val="11EF339A"/>
    <w:rsid w:val="128D1489"/>
    <w:rsid w:val="13A47AAA"/>
    <w:rsid w:val="13C70914"/>
    <w:rsid w:val="150D2643"/>
    <w:rsid w:val="184109E6"/>
    <w:rsid w:val="19080C81"/>
    <w:rsid w:val="1C300A43"/>
    <w:rsid w:val="1E815B99"/>
    <w:rsid w:val="1E9F6C6F"/>
    <w:rsid w:val="22735CF5"/>
    <w:rsid w:val="2424020B"/>
    <w:rsid w:val="274B064A"/>
    <w:rsid w:val="27654CB1"/>
    <w:rsid w:val="280A5613"/>
    <w:rsid w:val="28596F4E"/>
    <w:rsid w:val="2A1262DA"/>
    <w:rsid w:val="2C88151C"/>
    <w:rsid w:val="2CF03F85"/>
    <w:rsid w:val="2D2C42AF"/>
    <w:rsid w:val="2F727B0F"/>
    <w:rsid w:val="3045344A"/>
    <w:rsid w:val="31030DBF"/>
    <w:rsid w:val="3381627F"/>
    <w:rsid w:val="33FE66F8"/>
    <w:rsid w:val="352513F0"/>
    <w:rsid w:val="356763E5"/>
    <w:rsid w:val="38787C50"/>
    <w:rsid w:val="392E47B3"/>
    <w:rsid w:val="3A283A3C"/>
    <w:rsid w:val="3F625F1F"/>
    <w:rsid w:val="3F7A2BAD"/>
    <w:rsid w:val="40710C3C"/>
    <w:rsid w:val="41EE4996"/>
    <w:rsid w:val="44BA73CE"/>
    <w:rsid w:val="44FA6A22"/>
    <w:rsid w:val="453641BF"/>
    <w:rsid w:val="457F07EA"/>
    <w:rsid w:val="46660687"/>
    <w:rsid w:val="46CD455E"/>
    <w:rsid w:val="46DE3255"/>
    <w:rsid w:val="488058A3"/>
    <w:rsid w:val="48C57A10"/>
    <w:rsid w:val="4BA00181"/>
    <w:rsid w:val="4C936320"/>
    <w:rsid w:val="4D0971F7"/>
    <w:rsid w:val="506D346E"/>
    <w:rsid w:val="52AD50FC"/>
    <w:rsid w:val="54662667"/>
    <w:rsid w:val="56C53E05"/>
    <w:rsid w:val="5735779F"/>
    <w:rsid w:val="577D0987"/>
    <w:rsid w:val="58FF77AD"/>
    <w:rsid w:val="5A58367E"/>
    <w:rsid w:val="5A7140A7"/>
    <w:rsid w:val="5DE6679D"/>
    <w:rsid w:val="5E27164D"/>
    <w:rsid w:val="5F092196"/>
    <w:rsid w:val="5F586E3A"/>
    <w:rsid w:val="62B8195E"/>
    <w:rsid w:val="63F1580A"/>
    <w:rsid w:val="64E45081"/>
    <w:rsid w:val="651838A9"/>
    <w:rsid w:val="659D1DBC"/>
    <w:rsid w:val="65B55D70"/>
    <w:rsid w:val="66101CCA"/>
    <w:rsid w:val="67ED5A0C"/>
    <w:rsid w:val="6A523E2D"/>
    <w:rsid w:val="6F837D11"/>
    <w:rsid w:val="708E6756"/>
    <w:rsid w:val="70DE5573"/>
    <w:rsid w:val="72FA0103"/>
    <w:rsid w:val="73741484"/>
    <w:rsid w:val="7388758D"/>
    <w:rsid w:val="742F2BB2"/>
    <w:rsid w:val="778154D2"/>
    <w:rsid w:val="7A17211E"/>
    <w:rsid w:val="7B687429"/>
    <w:rsid w:val="7B6974FB"/>
    <w:rsid w:val="7C043D1B"/>
    <w:rsid w:val="7E5271EB"/>
    <w:rsid w:val="7EAA225E"/>
    <w:rsid w:val="7F2E31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  <w:jc w:val="left"/>
    </w:pPr>
  </w:style>
  <w:style w:type="paragraph" w:styleId="3">
    <w:name w:val="Body Text"/>
    <w:basedOn w:val="1"/>
    <w:next w:val="4"/>
    <w:link w:val="14"/>
    <w:autoRedefine/>
    <w:qFormat/>
    <w:uiPriority w:val="0"/>
    <w:pPr>
      <w:spacing w:after="120"/>
    </w:pPr>
  </w:style>
  <w:style w:type="paragraph" w:styleId="4">
    <w:name w:val="Plain Text"/>
    <w:basedOn w:val="1"/>
    <w:link w:val="15"/>
    <w:qFormat/>
    <w:uiPriority w:val="0"/>
    <w:rPr>
      <w:rFonts w:ascii="宋体" w:hAnsi="Courier New"/>
      <w:kern w:val="0"/>
      <w:sz w:val="20"/>
      <w:szCs w:val="21"/>
    </w:rPr>
  </w:style>
  <w:style w:type="paragraph" w:styleId="5">
    <w:name w:val="Body Text Indent"/>
    <w:basedOn w:val="1"/>
    <w:link w:val="25"/>
    <w:autoRedefine/>
    <w:qFormat/>
    <w:uiPriority w:val="0"/>
    <w:pPr>
      <w:ind w:firstLine="795"/>
    </w:pPr>
    <w:rPr>
      <w:rFonts w:ascii="Times New Roman"/>
      <w:sz w:val="32"/>
    </w:rPr>
  </w:style>
  <w:style w:type="paragraph" w:styleId="6">
    <w:name w:val="Balloon Text"/>
    <w:basedOn w:val="1"/>
    <w:link w:val="20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autoRedefine/>
    <w:semiHidden/>
    <w:unhideWhenUsed/>
    <w:qFormat/>
    <w:uiPriority w:val="99"/>
    <w:rPr>
      <w:color w:val="0000FF"/>
      <w:u w:val="single"/>
    </w:rPr>
  </w:style>
  <w:style w:type="character" w:customStyle="1" w:styleId="13">
    <w:name w:val="font11"/>
    <w:basedOn w:val="11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4">
    <w:name w:val="正文文本 Char"/>
    <w:basedOn w:val="11"/>
    <w:link w:val="3"/>
    <w:autoRedefine/>
    <w:qFormat/>
    <w:uiPriority w:val="0"/>
  </w:style>
  <w:style w:type="character" w:customStyle="1" w:styleId="15">
    <w:name w:val="纯文本 Char"/>
    <w:basedOn w:val="11"/>
    <w:link w:val="4"/>
    <w:qFormat/>
    <w:uiPriority w:val="0"/>
    <w:rPr>
      <w:rFonts w:ascii="宋体" w:hAnsi="Courier New"/>
      <w:kern w:val="0"/>
      <w:sz w:val="20"/>
      <w:szCs w:val="21"/>
    </w:rPr>
  </w:style>
  <w:style w:type="paragraph" w:customStyle="1" w:styleId="16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  <w:style w:type="character" w:customStyle="1" w:styleId="17">
    <w:name w:val="font31"/>
    <w:basedOn w:val="11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8">
    <w:name w:val="页眉 Char"/>
    <w:basedOn w:val="11"/>
    <w:link w:val="8"/>
    <w:autoRedefine/>
    <w:qFormat/>
    <w:uiPriority w:val="99"/>
    <w:rPr>
      <w:sz w:val="18"/>
      <w:szCs w:val="18"/>
    </w:rPr>
  </w:style>
  <w:style w:type="character" w:customStyle="1" w:styleId="19">
    <w:name w:val="页脚 Char"/>
    <w:basedOn w:val="11"/>
    <w:link w:val="7"/>
    <w:autoRedefine/>
    <w:qFormat/>
    <w:uiPriority w:val="99"/>
    <w:rPr>
      <w:sz w:val="18"/>
      <w:szCs w:val="18"/>
    </w:rPr>
  </w:style>
  <w:style w:type="character" w:customStyle="1" w:styleId="20">
    <w:name w:val="批注框文本 Char"/>
    <w:basedOn w:val="11"/>
    <w:link w:val="6"/>
    <w:semiHidden/>
    <w:qFormat/>
    <w:uiPriority w:val="99"/>
    <w:rPr>
      <w:sz w:val="18"/>
      <w:szCs w:val="18"/>
    </w:rPr>
  </w:style>
  <w:style w:type="character" w:customStyle="1" w:styleId="21">
    <w:name w:val="font21"/>
    <w:basedOn w:val="11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table" w:customStyle="1" w:styleId="2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3">
    <w:name w:val="Table Text"/>
    <w:basedOn w:val="1"/>
    <w:semiHidden/>
    <w:qFormat/>
    <w:uiPriority w:val="0"/>
    <w:rPr>
      <w:rFonts w:ascii="宋体" w:hAnsi="宋体" w:eastAsia="宋体" w:cs="宋体"/>
      <w:sz w:val="22"/>
      <w:lang w:eastAsia="en-US"/>
    </w:rPr>
  </w:style>
  <w:style w:type="paragraph" w:customStyle="1" w:styleId="24">
    <w:name w:val="正文首行缩进两字符"/>
    <w:basedOn w:val="1"/>
    <w:qFormat/>
    <w:uiPriority w:val="0"/>
    <w:pPr>
      <w:autoSpaceDE w:val="0"/>
      <w:autoSpaceDN w:val="0"/>
      <w:adjustRightInd w:val="0"/>
      <w:spacing w:line="360" w:lineRule="atLeast"/>
      <w:ind w:firstLine="200"/>
    </w:pPr>
  </w:style>
  <w:style w:type="character" w:customStyle="1" w:styleId="25">
    <w:name w:val="正文文本缩进 Char"/>
    <w:basedOn w:val="11"/>
    <w:link w:val="5"/>
    <w:autoRedefine/>
    <w:qFormat/>
    <w:uiPriority w:val="0"/>
    <w:rPr>
      <w:rFonts w:hAnsiTheme="minorHAnsi" w:eastAsiaTheme="minorEastAsia" w:cstheme="minorBidi"/>
      <w:kern w:val="2"/>
      <w:sz w:val="32"/>
      <w:szCs w:val="22"/>
    </w:rPr>
  </w:style>
  <w:style w:type="character" w:customStyle="1" w:styleId="26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3309</Words>
  <Characters>3862</Characters>
  <Lines>170</Lines>
  <Paragraphs>47</Paragraphs>
  <TotalTime>0</TotalTime>
  <ScaleCrop>false</ScaleCrop>
  <LinksUpToDate>false</LinksUpToDate>
  <CharactersWithSpaces>4096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2024-04-10T03:28:00Z</dcterms:created>
  <dc:creator>刘雪梅</dc:creator>
  <cp:lastModifiedBy>伊玲</cp:lastModifiedBy>
  <dcterms:modified xsi:type="dcterms:W3CDTF">2024-06-21T03:32:24Z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F142DB9C80694472BC5746F276B39CB7_13</vt:lpwstr>
  </property>
</Properties>
</file>